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A84085">
        <w:trPr>
          <w:trHeight w:val="1006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ED44A8" w:rsidRDefault="00633767" w:rsidP="00D4406D">
            <w:pPr>
              <w:jc w:val="center"/>
            </w:pPr>
            <w:r w:rsidRPr="00ED44A8">
              <w:t xml:space="preserve">ВИТЕБСКИЙ ФИЛИАЛ </w:t>
            </w:r>
          </w:p>
          <w:p w14:paraId="2B905E2A" w14:textId="77777777" w:rsidR="00633767" w:rsidRPr="00ED44A8" w:rsidRDefault="00633767" w:rsidP="008107F7">
            <w:pPr>
              <w:ind w:left="476"/>
              <w:jc w:val="center"/>
            </w:pPr>
            <w:r w:rsidRPr="00ED44A8">
              <w:t xml:space="preserve">РУП «Институт недвижимости и оценки» </w:t>
            </w:r>
          </w:p>
          <w:p w14:paraId="4272AC4B" w14:textId="522A1EF9" w:rsidR="00FE25B0" w:rsidRPr="00615616" w:rsidRDefault="00615616" w:rsidP="00D4406D">
            <w:pPr>
              <w:ind w:left="476"/>
              <w:jc w:val="center"/>
            </w:pPr>
            <w:r w:rsidRPr="00615616">
              <w:t xml:space="preserve">извещает о проведении </w:t>
            </w:r>
            <w:r w:rsidRPr="00615616">
              <w:rPr>
                <w:color w:val="0000FF"/>
              </w:rPr>
              <w:t>повторных</w:t>
            </w:r>
            <w:r w:rsidRPr="00615616">
              <w:t xml:space="preserve"> электронных торгов по продаже имущества</w:t>
            </w:r>
            <w:r w:rsidR="008107F7" w:rsidRPr="00615616">
              <w:t xml:space="preserve"> </w:t>
            </w:r>
          </w:p>
          <w:p w14:paraId="5C7945B3" w14:textId="6DE1F239" w:rsidR="00633767" w:rsidRPr="00ED44A8" w:rsidRDefault="00FB7EB9" w:rsidP="00D4406D">
            <w:pPr>
              <w:ind w:left="476"/>
              <w:jc w:val="center"/>
            </w:pPr>
            <w:r w:rsidRPr="00615616">
              <w:t>открытого акционерного общества «Витебский приборостроительный</w:t>
            </w:r>
            <w:r w:rsidRPr="00FB7EB9">
              <w:t xml:space="preserve"> завод» </w:t>
            </w:r>
            <w:r w:rsidR="00633767" w:rsidRPr="00ED44A8">
              <w:t>(</w:t>
            </w:r>
            <w:r w:rsidR="00876A3F" w:rsidRPr="00ED44A8">
              <w:t>УНП</w:t>
            </w:r>
            <w:r w:rsidR="00D15C25">
              <w:t xml:space="preserve"> </w:t>
            </w:r>
            <w:r>
              <w:rPr>
                <w:color w:val="2C2D2E"/>
              </w:rPr>
              <w:t>300</w:t>
            </w:r>
            <w:r w:rsidR="004855FB">
              <w:rPr>
                <w:color w:val="2C2D2E"/>
              </w:rPr>
              <w:t>0</w:t>
            </w:r>
            <w:r>
              <w:rPr>
                <w:color w:val="2C2D2E"/>
              </w:rPr>
              <w:t>48171</w:t>
            </w:r>
            <w:r w:rsidR="00633767" w:rsidRPr="00ED44A8">
              <w:t>)</w:t>
            </w:r>
          </w:p>
          <w:p w14:paraId="4300AA0A" w14:textId="77777777" w:rsidR="00633767" w:rsidRPr="00ED44A8" w:rsidRDefault="00633767" w:rsidP="00D4406D">
            <w:pPr>
              <w:ind w:left="476"/>
              <w:jc w:val="center"/>
            </w:pPr>
          </w:p>
          <w:p w14:paraId="010201BB" w14:textId="68D9E5DB" w:rsidR="00564DAC" w:rsidRPr="00145A32" w:rsidRDefault="000A2DE6" w:rsidP="00564DAC">
            <w:pPr>
              <w:ind w:left="476"/>
              <w:jc w:val="center"/>
            </w:pPr>
            <w:r>
              <w:t>Электронные торги состоя</w:t>
            </w:r>
            <w:r w:rsidR="00564DAC" w:rsidRPr="00564DAC">
              <w:t xml:space="preserve">тся </w:t>
            </w:r>
            <w:r w:rsidRPr="000A2DE6">
              <w:rPr>
                <w:b/>
              </w:rPr>
              <w:t>29</w:t>
            </w:r>
            <w:r w:rsidR="00564DAC" w:rsidRPr="000A2DE6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="00564DAC" w:rsidRPr="00564DAC">
              <w:rPr>
                <w:b/>
              </w:rPr>
              <w:t xml:space="preserve"> 202</w:t>
            </w:r>
            <w:r w:rsidR="00615616">
              <w:rPr>
                <w:b/>
              </w:rPr>
              <w:t>5</w:t>
            </w:r>
            <w:r w:rsidR="00564DAC" w:rsidRPr="00564DAC">
              <w:rPr>
                <w:b/>
              </w:rPr>
              <w:t xml:space="preserve"> в 1</w:t>
            </w:r>
            <w:r w:rsidR="009401BA">
              <w:rPr>
                <w:b/>
              </w:rPr>
              <w:t>5</w:t>
            </w:r>
            <w:r w:rsidR="00564DAC" w:rsidRPr="00564DAC">
              <w:rPr>
                <w:b/>
              </w:rPr>
              <w:t>.00</w:t>
            </w:r>
            <w:r w:rsidR="00564DAC" w:rsidRPr="00564DAC">
              <w:t xml:space="preserve"> на электронной торговой площадке </w:t>
            </w:r>
            <w:r w:rsidR="00564DAC" w:rsidRPr="00564DAC">
              <w:rPr>
                <w:b/>
              </w:rPr>
              <w:t>GOSTORG.BY</w:t>
            </w:r>
          </w:p>
          <w:p w14:paraId="0B5BAC7E" w14:textId="2A490D51" w:rsidR="00633767" w:rsidRPr="00ED44A8" w:rsidRDefault="00633767" w:rsidP="00D4406D">
            <w:r w:rsidRPr="00ED44A8">
              <w:t xml:space="preserve">                                                                         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3DE77248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645D26" w:rsidRPr="00C21B43">
              <w:rPr>
                <w:b/>
                <w:bCs/>
              </w:rPr>
              <w:t>1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A3C5C4" w:rsidR="00254527" w:rsidRPr="00C21B43" w:rsidRDefault="006F4B29" w:rsidP="001E0AFD">
            <w:r w:rsidRPr="00C21B43">
              <w:t>Сведения о капитальном строении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44E25" w14:textId="77777777" w:rsidR="009401BA" w:rsidRDefault="009401BA" w:rsidP="006F4B29">
            <w:pPr>
              <w:pStyle w:val="a6"/>
              <w:spacing w:before="0" w:beforeAutospacing="0" w:after="0" w:afterAutospacing="0"/>
            </w:pPr>
            <w:r w:rsidRPr="009401BA">
              <w:t>Капитальное строение с инвентарным номером № 200/С-51709, общей площадью 1500 кв.м., наименование – котельная, назначение – здание неустановленного назначения, расположенное по адресу: Витебская обл., г. Витебск, ул. Гагарина, 4/5, составные части и  принадлежности: пристройка</w:t>
            </w:r>
          </w:p>
          <w:p w14:paraId="20FF530B" w14:textId="0776E5D8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Право собственности (Собственность одного лица)</w:t>
            </w:r>
          </w:p>
          <w:p w14:paraId="7E219838" w14:textId="45BE60C7" w:rsidR="006F4B29" w:rsidRPr="00696D8A" w:rsidRDefault="006F4B29" w:rsidP="006F4B29">
            <w:pPr>
              <w:pStyle w:val="a6"/>
              <w:spacing w:before="0" w:beforeAutospacing="0" w:after="0" w:afterAutospacing="0"/>
            </w:pPr>
            <w:r w:rsidRPr="00696D8A">
              <w:t>Идентификационные сведения о правообладателе: </w:t>
            </w:r>
            <w:r w:rsidR="00FB7EB9" w:rsidRPr="00696D8A">
              <w:t>открытое акционерное общество «Витебский приборостроительный завод» (УНП 300</w:t>
            </w:r>
            <w:r w:rsidR="004855FB" w:rsidRPr="00696D8A">
              <w:t>0</w:t>
            </w:r>
            <w:r w:rsidR="00FB7EB9" w:rsidRPr="00696D8A">
              <w:t>48171)</w:t>
            </w:r>
          </w:p>
          <w:p w14:paraId="48A5A5BD" w14:textId="02461486" w:rsidR="00FB7EB9" w:rsidRPr="00C21B43" w:rsidRDefault="006F4B29" w:rsidP="006F4B29">
            <w:pPr>
              <w:pStyle w:val="a6"/>
              <w:spacing w:before="0" w:beforeAutospacing="0" w:after="0" w:afterAutospacing="0"/>
            </w:pPr>
            <w:r w:rsidRPr="00696D8A">
              <w:t>Доля:</w:t>
            </w:r>
            <w:r w:rsidR="00A84085" w:rsidRPr="00696D8A">
              <w:t xml:space="preserve"> </w:t>
            </w:r>
            <w:r w:rsidRPr="00696D8A">
              <w:t>1/1</w:t>
            </w:r>
          </w:p>
        </w:tc>
      </w:tr>
      <w:tr w:rsidR="006F4B29" w:rsidRPr="00ED44A8" w14:paraId="2C558736" w14:textId="77777777" w:rsidTr="00EC0CF2">
        <w:trPr>
          <w:trHeight w:val="60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40F" w14:textId="67E7D677" w:rsidR="006F4B29" w:rsidRPr="00C21B43" w:rsidRDefault="006F4B29" w:rsidP="001E0AFD">
            <w:r w:rsidRPr="00C21B43">
              <w:t>Сведения о земельном участке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FCAA8" w14:textId="22B0ED78" w:rsidR="00FB7EB9" w:rsidRPr="00C21B43" w:rsidRDefault="00FB7EB9" w:rsidP="006F4B29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Объект расположен на земельном участке с кадастровым №240100000001000497  общей площадью 3,9964 га по адресу: Витебская обл., г. Витебск, ул. Гагарина, 4 (общая долевая аренда)</w:t>
            </w:r>
          </w:p>
          <w:p w14:paraId="425E54CE" w14:textId="14A94B80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Целевое назначение земельного участка: </w:t>
            </w:r>
            <w:r w:rsidR="00FB7EB9" w:rsidRPr="00C21B43">
              <w:rPr>
                <w:iCs/>
                <w:color w:val="000000"/>
              </w:rPr>
              <w:t>земельный участок для обслуживания административно-производственных зданий и сооружений трубопроводного транспорта</w:t>
            </w:r>
          </w:p>
          <w:p w14:paraId="37E82A78" w14:textId="109FF574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</w:t>
            </w:r>
            <w:r w:rsidR="00564DAC" w:rsidRPr="00C21B43">
              <w:rPr>
                <w:iCs/>
                <w:color w:val="000000"/>
              </w:rPr>
              <w:t>земельный участок для размещения объектов иного назначения</w:t>
            </w:r>
          </w:p>
          <w:p w14:paraId="0ECB0446" w14:textId="0BEA74D0" w:rsidR="006F4B29" w:rsidRPr="00C21B43" w:rsidRDefault="006F4B29" w:rsidP="006F4B29"/>
          <w:p w14:paraId="7541C45A" w14:textId="74BD278E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bCs/>
                <w:color w:val="000000"/>
              </w:rPr>
              <w:t>Право собственности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Pr="00C21B43">
              <w:rPr>
                <w:iCs/>
                <w:color w:val="000000"/>
              </w:rPr>
              <w:t>Республика Беларусь</w:t>
            </w:r>
            <w:r w:rsidR="006A5E7C" w:rsidRPr="00C21B43">
              <w:rPr>
                <w:iCs/>
                <w:color w:val="000000"/>
              </w:rPr>
              <w:t xml:space="preserve">, </w:t>
            </w:r>
            <w:r w:rsidRPr="00C21B43">
              <w:rPr>
                <w:color w:val="000000"/>
              </w:rPr>
              <w:t>Доля: </w:t>
            </w:r>
            <w:r w:rsidRPr="00C21B43">
              <w:rPr>
                <w:iCs/>
                <w:color w:val="000000"/>
              </w:rPr>
              <w:t>1/1</w:t>
            </w:r>
          </w:p>
          <w:p w14:paraId="0D507D46" w14:textId="1016621B" w:rsidR="00564DAC" w:rsidRPr="00696D8A" w:rsidRDefault="006F4B29" w:rsidP="00564DAC">
            <w:pPr>
              <w:pStyle w:val="a6"/>
              <w:spacing w:before="0" w:beforeAutospacing="0" w:after="0" w:afterAutospacing="0"/>
            </w:pPr>
            <w:r w:rsidRPr="00696D8A">
              <w:rPr>
                <w:bCs/>
                <w:color w:val="000000"/>
              </w:rPr>
              <w:t xml:space="preserve">Право </w:t>
            </w:r>
            <w:r w:rsidR="00564DAC" w:rsidRPr="00696D8A">
              <w:rPr>
                <w:bCs/>
                <w:color w:val="000000"/>
              </w:rPr>
              <w:t>аренды</w:t>
            </w:r>
            <w:r w:rsidR="006A5E7C" w:rsidRPr="00696D8A">
              <w:rPr>
                <w:bCs/>
                <w:color w:val="000000"/>
              </w:rPr>
              <w:t xml:space="preserve">: </w:t>
            </w:r>
            <w:r w:rsidR="00564DAC" w:rsidRPr="00696D8A">
              <w:rPr>
                <w:bCs/>
                <w:color w:val="000000"/>
              </w:rPr>
              <w:t xml:space="preserve">Витебский приборостроительный завод" </w:t>
            </w:r>
            <w:r w:rsidR="00564DAC" w:rsidRPr="00696D8A">
              <w:t>(УНП 300</w:t>
            </w:r>
            <w:r w:rsidR="004855FB" w:rsidRPr="00696D8A">
              <w:t>0</w:t>
            </w:r>
            <w:r w:rsidR="00564DAC" w:rsidRPr="00696D8A">
              <w:t>48171),</w:t>
            </w:r>
          </w:p>
          <w:p w14:paraId="7A4A3F04" w14:textId="1A3D0201" w:rsidR="00564DAC" w:rsidRPr="00696D8A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96D8A">
              <w:rPr>
                <w:bCs/>
                <w:color w:val="000000"/>
              </w:rPr>
              <w:t>Доля: 44236/100000</w:t>
            </w:r>
          </w:p>
          <w:p w14:paraId="302CBF33" w14:textId="41D28F9E" w:rsidR="00D70FA0" w:rsidRPr="00C21B43" w:rsidRDefault="00D70FA0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96D8A">
              <w:rPr>
                <w:bCs/>
                <w:color w:val="000000"/>
              </w:rPr>
              <w:t>Срок действия: с 25.04.2013 по 08.04.2043</w:t>
            </w:r>
          </w:p>
          <w:p w14:paraId="7A688586" w14:textId="77777777" w:rsidR="00564DAC" w:rsidRPr="00C21B43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5E5E5870" w14:textId="77777777" w:rsidR="00564DAC" w:rsidRPr="00C21B43" w:rsidRDefault="006A5E7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</w:t>
            </w:r>
            <w:r w:rsidR="006F4B29" w:rsidRPr="00C21B43">
              <w:rPr>
                <w:iCs/>
                <w:color w:val="000000"/>
              </w:rPr>
              <w:t>: </w:t>
            </w:r>
          </w:p>
          <w:p w14:paraId="45B373E8" w14:textId="42E8BD9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подземных источников водоснабжения, площадь 0.0081 га</w:t>
            </w:r>
          </w:p>
          <w:p w14:paraId="12196B5B" w14:textId="0CD7B21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связи и радиофикации, площадь 0.0087 га</w:t>
            </w:r>
          </w:p>
          <w:p w14:paraId="31DD3FCC" w14:textId="36A4D806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электропередачи напряжением свыше 1000 В., площадь 0.0097 га</w:t>
            </w:r>
          </w:p>
          <w:p w14:paraId="689FEE24" w14:textId="2A3CA9F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(хозфекальная канализация), площадь 0.1224 га</w:t>
            </w:r>
          </w:p>
          <w:p w14:paraId="7451E4DC" w14:textId="24E7C643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(ливневая канализация), площадь 0.0480 га</w:t>
            </w:r>
          </w:p>
          <w:p w14:paraId="72A25224" w14:textId="39959D2B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магистрального трубопровода (теплотрасса), площадь 0.0163 га</w:t>
            </w:r>
          </w:p>
          <w:p w14:paraId="5BFEC033" w14:textId="57204628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iCs/>
                <w:color w:val="000000"/>
              </w:rPr>
            </w:pPr>
          </w:p>
          <w:p w14:paraId="59C9C348" w14:textId="6CA69562" w:rsidR="006F4B29" w:rsidRPr="00C21B43" w:rsidRDefault="00564DAC" w:rsidP="00C343CB">
            <w:pPr>
              <w:pStyle w:val="a6"/>
              <w:spacing w:before="0" w:beforeAutospacing="0" w:after="0" w:afterAutospacing="0"/>
            </w:pPr>
            <w:r w:rsidRPr="00E65383">
              <w:t>Переход права на земельный участок</w:t>
            </w:r>
            <w:r w:rsidR="006F4B29" w:rsidRPr="00E65383">
              <w:t xml:space="preserve"> осуществляется в соответствии с действующим законодательством Республики Беларусь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42EE574E" w:rsidR="001E0AFD" w:rsidRPr="00C21B43" w:rsidRDefault="001E0AFD" w:rsidP="00564DAC">
            <w:r w:rsidRPr="00C21B43">
              <w:t xml:space="preserve">Начальная цена продажи </w:t>
            </w:r>
            <w:r w:rsidR="00564DAC" w:rsidRPr="00C21B43">
              <w:t xml:space="preserve"> без учета НДС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3F1CA14F" w:rsidR="001E0AFD" w:rsidRPr="00C21B43" w:rsidRDefault="009401BA" w:rsidP="00564DAC">
            <w:pPr>
              <w:jc w:val="both"/>
              <w:rPr>
                <w:b/>
              </w:rPr>
            </w:pPr>
            <w:r w:rsidRPr="009401BA">
              <w:rPr>
                <w:b/>
                <w:color w:val="000000" w:themeColor="text1"/>
              </w:rPr>
              <w:t>26 850,00 (Двадцать шесть тысяч восемьсот пятьдесят белорусских рублей 00 копеек) без учета НДС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lastRenderedPageBreak/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0CA4242B" w:rsidR="001E0AFD" w:rsidRPr="00C21B43" w:rsidRDefault="00C80089" w:rsidP="00C80089">
            <w:pPr>
              <w:jc w:val="both"/>
              <w:rPr>
                <w:b/>
              </w:rPr>
            </w:pPr>
            <w:r>
              <w:rPr>
                <w:b/>
              </w:rPr>
              <w:t>2 685</w:t>
            </w:r>
            <w:r w:rsidR="00564DAC" w:rsidRPr="00C21B43">
              <w:rPr>
                <w:b/>
              </w:rPr>
              <w:t>,00</w:t>
            </w:r>
            <w:r w:rsidR="00A84085" w:rsidRPr="00C21B43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>
              <w:rPr>
                <w:b/>
              </w:rPr>
              <w:t xml:space="preserve">Две тысячи шестьсот восемьдесят пять </w:t>
            </w:r>
            <w:bookmarkStart w:id="0" w:name="_GoBack"/>
            <w:bookmarkEnd w:id="0"/>
            <w:r w:rsidR="00E65383">
              <w:rPr>
                <w:b/>
                <w:color w:val="000000" w:themeColor="text1"/>
              </w:rPr>
              <w:t>белорусских</w:t>
            </w:r>
            <w:r w:rsidR="00E65383" w:rsidRPr="00E65383">
              <w:rPr>
                <w:b/>
              </w:rPr>
              <w:t xml:space="preserve"> рублей 00 копеек</w:t>
            </w:r>
            <w:r w:rsidR="00CA133D" w:rsidRPr="00C21B43">
              <w:rPr>
                <w:b/>
              </w:rPr>
              <w:t>)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 xml:space="preserve">в ОАО «Белагропромбанк»,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25E5E13C" w:rsidR="00EC0CF2" w:rsidRPr="00C21B43" w:rsidRDefault="004E4D27" w:rsidP="004E4D27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>по 28</w:t>
            </w:r>
            <w:r w:rsidR="00615616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0A8BF" w14:textId="77777777" w:rsidR="00EC0CF2" w:rsidRPr="006A54AE" w:rsidRDefault="00EC0CF2" w:rsidP="00EC0CF2">
            <w:pPr>
              <w:jc w:val="both"/>
              <w:rPr>
                <w:b/>
                <w:color w:val="2C2D2E"/>
              </w:rPr>
            </w:pPr>
            <w:r w:rsidRPr="006A54AE">
              <w:rPr>
                <w:b/>
                <w:color w:val="2C2D2E"/>
              </w:rPr>
              <w:t>ОАО «Витебский приборостроительный завод»</w:t>
            </w:r>
          </w:p>
          <w:p w14:paraId="57165D56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Расчетный счет BY41BPSB30121159260119330000 в ОАО «Сбер Банк» Региональная дирекция №200 по Витебской области.</w:t>
            </w:r>
          </w:p>
          <w:p w14:paraId="10077DB2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МФО BPSBBY2X</w:t>
            </w:r>
          </w:p>
          <w:p w14:paraId="537027BC" w14:textId="0613CD64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 xml:space="preserve">Электронный адрес: </w:t>
            </w:r>
            <w:hyperlink r:id="rId5" w:history="1">
              <w:r w:rsidRPr="00C21B43">
                <w:rPr>
                  <w:rStyle w:val="a3"/>
                </w:rPr>
                <w:t>vpz.sbyt@mail.ru</w:t>
              </w:r>
            </w:hyperlink>
          </w:p>
          <w:p w14:paraId="31723E67" w14:textId="4D92D4DA" w:rsidR="001E0AFD" w:rsidRPr="00C21B43" w:rsidRDefault="00510F4C" w:rsidP="00EC0CF2">
            <w:pPr>
              <w:jc w:val="both"/>
            </w:pPr>
            <w:r w:rsidRPr="00C21B43">
              <w:rPr>
                <w:color w:val="2C2D2E"/>
              </w:rPr>
              <w:t>Телефон для осмотр объектов</w:t>
            </w:r>
            <w:r w:rsidRPr="00E65383">
              <w:rPr>
                <w:color w:val="2C2D2E"/>
              </w:rPr>
              <w:t xml:space="preserve">: </w:t>
            </w:r>
            <w:r w:rsidR="00EC0CF2" w:rsidRPr="00E65383">
              <w:t>Бытко Наталья Анатольевна +375291332226</w:t>
            </w:r>
            <w:r w:rsidRPr="00E65383">
              <w:t>,</w:t>
            </w:r>
            <w:r w:rsidRPr="00C21B43">
              <w:t xml:space="preserve"> </w:t>
            </w:r>
          </w:p>
        </w:tc>
      </w:tr>
      <w:tr w:rsidR="001E0AFD" w:rsidRPr="00ED44A8" w14:paraId="7DEB70EA" w14:textId="77777777" w:rsidTr="000B31C9">
        <w:trPr>
          <w:trHeight w:val="1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24C2B921" w:rsidR="001E0AFD" w:rsidRPr="00C21B43" w:rsidRDefault="000B31C9" w:rsidP="001E0AFD">
            <w:r w:rsidRPr="0097169C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9168E" w14:textId="77777777" w:rsidR="00EC0CF2" w:rsidRPr="00C21B43" w:rsidRDefault="00EC0CF2" w:rsidP="00EC0CF2">
            <w:r w:rsidRPr="00C21B43">
              <w:t xml:space="preserve">Витебский филиал РУП «Институт недвижимости и оценки», г. Витебск                         ул. Свидинского, 4, 210016, УНП 300999546,  </w:t>
            </w:r>
          </w:p>
          <w:p w14:paraId="1FD30820" w14:textId="782FB2B2" w:rsidR="001E0AFD" w:rsidRPr="00C21B43" w:rsidRDefault="00EC0CF2" w:rsidP="000B31C9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C80089" w:rsidP="00872F7F">
            <w:hyperlink r:id="rId6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>Перечень документов 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5EE32C53" w:rsidR="00872F7F" w:rsidRPr="00C21B43" w:rsidRDefault="00872F7F" w:rsidP="000A2DE6">
            <w:pPr>
              <w:rPr>
                <w:color w:val="000000"/>
              </w:rPr>
            </w:pPr>
            <w:r w:rsidRPr="00C21B43">
              <w:t xml:space="preserve">Условия </w:t>
            </w:r>
            <w:r w:rsidR="000A2DE6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22B67" w14:textId="77777777" w:rsidR="00872F7F" w:rsidRPr="00C21B43" w:rsidRDefault="00872F7F" w:rsidP="00872F7F">
            <w:pPr>
              <w:ind w:right="-30" w:firstLine="709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21B43">
              <w:t xml:space="preserve">Победитель электронных торгов либо единственный участник, </w:t>
            </w:r>
            <w:r w:rsidRPr="00C21B43">
              <w:rPr>
                <w:color w:val="000000" w:themeColor="text1"/>
              </w:rPr>
              <w:t>победитель электронных торгов либо единственный участник, согласившийся приобрести Лот по начальной цене, увеличенной на пять процентов (далее – Претендент на покупку), обязан:</w:t>
            </w:r>
          </w:p>
          <w:p w14:paraId="24F0B255" w14:textId="77777777" w:rsidR="009401BA" w:rsidRPr="009401BA" w:rsidRDefault="009401BA" w:rsidP="009401B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9401BA">
              <w:rPr>
                <w:color w:val="000000" w:themeColor="text1"/>
              </w:rPr>
              <w:t>оплатить вознаграждение организатору торгов в размере 7 % от конечной цены продажи в  течение 5 рабочих дней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включает затраты на организацию и проведение электронных торгов;</w:t>
            </w:r>
          </w:p>
          <w:p w14:paraId="3FEFFD9B" w14:textId="77777777" w:rsidR="009401BA" w:rsidRPr="009401BA" w:rsidRDefault="009401BA" w:rsidP="009401B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9401BA">
              <w:rPr>
                <w:color w:val="000000" w:themeColor="text1"/>
              </w:rPr>
              <w:t>подписать с Продавцом договор купли-продажи в течение 10 (Десять) календарных дней с даты проведения электронных торгов и утверждения протокола электронных торгов</w:t>
            </w:r>
          </w:p>
          <w:p w14:paraId="74E0F68D" w14:textId="77777777" w:rsidR="009401BA" w:rsidRPr="009401BA" w:rsidRDefault="009401BA" w:rsidP="009401B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9401BA">
              <w:rPr>
                <w:color w:val="000000" w:themeColor="text1"/>
              </w:rPr>
              <w:t>покупатель должен оплатить предмет аукциона в течении 10 календарных дней с даты подписания договора купли- продажи.</w:t>
            </w:r>
          </w:p>
          <w:p w14:paraId="755F77DB" w14:textId="77777777" w:rsidR="009401BA" w:rsidRPr="009401BA" w:rsidRDefault="009401BA" w:rsidP="009401B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9401BA">
              <w:rPr>
                <w:color w:val="000000" w:themeColor="text1"/>
              </w:rPr>
              <w:t xml:space="preserve"> покупатель должен оплатить НДС в размере 20% сверх цены продажи предмета аукциона.</w:t>
            </w:r>
          </w:p>
          <w:p w14:paraId="1FA3CEDF" w14:textId="43772EFB" w:rsidR="000A2DE6" w:rsidRPr="00C21B43" w:rsidRDefault="009401BA" w:rsidP="009401BA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9401BA">
              <w:rPr>
                <w:color w:val="000000" w:themeColor="text1"/>
              </w:rPr>
              <w:t xml:space="preserve">возместить расходы продавца связанные с изготовлением документации для проведения аукциона: расходы продавца по независимой оценке объекта   недвижимости </w:t>
            </w:r>
            <w:r w:rsidRPr="00ED77AD">
              <w:rPr>
                <w:color w:val="000000" w:themeColor="text1"/>
              </w:rPr>
              <w:t>и экспертизе достоверности  внутренней оценки в сумме 352,36 (триста пятьдесят два белорусских рубля 36 копеек),  в том числе НДС 20%  в сумме 58.73  (пятьдесят</w:t>
            </w:r>
            <w:r w:rsidRPr="009401BA">
              <w:rPr>
                <w:color w:val="000000" w:themeColor="text1"/>
              </w:rPr>
              <w:t xml:space="preserve"> восемь белорусских рублей, 73 копейки)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77777777" w:rsidR="00C21B43" w:rsidRPr="00C21B43" w:rsidRDefault="00C21B43" w:rsidP="00CC1CD0">
            <w:pPr>
              <w:jc w:val="both"/>
            </w:pPr>
            <w:r w:rsidRPr="00C21B43"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Республики Беларусь от 12 июля 2013 г. № 608 «О проведении электронных торгов».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514831E0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E95AAF">
              <w:rPr>
                <w:color w:val="000000" w:themeColor="text1"/>
              </w:rPr>
              <w:t xml:space="preserve">составляет </w:t>
            </w:r>
            <w:r w:rsidR="009401BA">
              <w:rPr>
                <w:color w:val="000000" w:themeColor="text1"/>
              </w:rPr>
              <w:t>20</w:t>
            </w:r>
            <w:r w:rsidR="00615616" w:rsidRPr="00E95AAF">
              <w:rPr>
                <w:color w:val="000000" w:themeColor="text1"/>
              </w:rPr>
              <w:t>%</w:t>
            </w:r>
            <w:r w:rsidRPr="00E95AAF">
              <w:rPr>
                <w:color w:val="000000" w:themeColor="text1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DE6"/>
    <w:rsid w:val="000A2EA6"/>
    <w:rsid w:val="000B03D5"/>
    <w:rsid w:val="000B31C9"/>
    <w:rsid w:val="000B7F91"/>
    <w:rsid w:val="000C4D75"/>
    <w:rsid w:val="000C53E9"/>
    <w:rsid w:val="000C5C6D"/>
    <w:rsid w:val="000C7CED"/>
    <w:rsid w:val="000D43C4"/>
    <w:rsid w:val="000D7525"/>
    <w:rsid w:val="000E1DB6"/>
    <w:rsid w:val="000E20AF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5A32"/>
    <w:rsid w:val="00150716"/>
    <w:rsid w:val="00150757"/>
    <w:rsid w:val="001603CB"/>
    <w:rsid w:val="00161ACB"/>
    <w:rsid w:val="00167F2C"/>
    <w:rsid w:val="00181800"/>
    <w:rsid w:val="00182F71"/>
    <w:rsid w:val="00185CCA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5184"/>
    <w:rsid w:val="00381F79"/>
    <w:rsid w:val="003837FF"/>
    <w:rsid w:val="00384014"/>
    <w:rsid w:val="003845B9"/>
    <w:rsid w:val="00394F70"/>
    <w:rsid w:val="003964B3"/>
    <w:rsid w:val="003A29D2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68EB"/>
    <w:rsid w:val="00440379"/>
    <w:rsid w:val="00441E41"/>
    <w:rsid w:val="00443E3C"/>
    <w:rsid w:val="00450BE8"/>
    <w:rsid w:val="00452F56"/>
    <w:rsid w:val="004577F0"/>
    <w:rsid w:val="004610A1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E4D2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96D8A"/>
    <w:rsid w:val="006A539C"/>
    <w:rsid w:val="006A54AE"/>
    <w:rsid w:val="006A5A7F"/>
    <w:rsid w:val="006A5E7C"/>
    <w:rsid w:val="006A7864"/>
    <w:rsid w:val="006B053D"/>
    <w:rsid w:val="006B2923"/>
    <w:rsid w:val="006B45AE"/>
    <w:rsid w:val="006C5CFC"/>
    <w:rsid w:val="006E2767"/>
    <w:rsid w:val="006F4B29"/>
    <w:rsid w:val="006F7E8C"/>
    <w:rsid w:val="00702A1B"/>
    <w:rsid w:val="00705CD7"/>
    <w:rsid w:val="00705CE3"/>
    <w:rsid w:val="00705F7F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A73D3"/>
    <w:rsid w:val="008B7B3D"/>
    <w:rsid w:val="008C0669"/>
    <w:rsid w:val="008C1FFC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01BA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366E"/>
    <w:rsid w:val="00A63E67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1280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23CBE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0089"/>
    <w:rsid w:val="00C82356"/>
    <w:rsid w:val="00C83FB2"/>
    <w:rsid w:val="00C87E9E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35CEC"/>
    <w:rsid w:val="00E41CBA"/>
    <w:rsid w:val="00E466B6"/>
    <w:rsid w:val="00E5345E"/>
    <w:rsid w:val="00E5412A"/>
    <w:rsid w:val="00E556E7"/>
    <w:rsid w:val="00E64696"/>
    <w:rsid w:val="00E65383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95AAF"/>
    <w:rsid w:val="00EA2035"/>
    <w:rsid w:val="00EB1CDF"/>
    <w:rsid w:val="00EB387A"/>
    <w:rsid w:val="00EB443E"/>
    <w:rsid w:val="00EB4AAE"/>
    <w:rsid w:val="00EB6918"/>
    <w:rsid w:val="00EC0CF2"/>
    <w:rsid w:val="00EC30EE"/>
    <w:rsid w:val="00ED44A8"/>
    <w:rsid w:val="00ED593C"/>
    <w:rsid w:val="00ED67F1"/>
    <w:rsid w:val="00ED75E4"/>
    <w:rsid w:val="00ED77AD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86F1C5BB-CD53-44AC-B3FE-361DCF55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torg.by/" TargetMode="External"/><Relationship Id="rId5" Type="http://schemas.openxmlformats.org/officeDocument/2006/relationships/hyperlink" Target="mailto:vpz.sby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8171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21</cp:revision>
  <cp:lastPrinted>2025-05-14T08:29:00Z</cp:lastPrinted>
  <dcterms:created xsi:type="dcterms:W3CDTF">2024-11-27T14:22:00Z</dcterms:created>
  <dcterms:modified xsi:type="dcterms:W3CDTF">2025-05-14T08:30:00Z</dcterms:modified>
</cp:coreProperties>
</file>