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37" w:rsidRPr="00AB6503" w:rsidRDefault="00D91737" w:rsidP="00D9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D91737" w:rsidP="00D9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B65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5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400/С-17193 (назначение – здание специализированное для производства текстильных, швейных и кожаных изделий, наименование – главный производственный корпус), площадью 29971,7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., г. Гродно ул. Максима Горького, 121Г, состоящее из капитальное строение инв. № 400/</w:t>
            </w:r>
            <w:r w:rsidRPr="00087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-152212 (назначение – производственное помещение, наименование – главный производственный корпус), площадью 29418,5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121Г-2 и капитальное строение инв. № 400/</w:t>
            </w:r>
            <w:r w:rsidRPr="00087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-123114 (назначение – помещение неустановленного назначения, наименование – помещение неустановленного назначения), площадью 523,0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121Г-1;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400/С-165708 (назначение – сооружение неустановленного назначения, наименование – благоустройство), площадью 6813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121Г, благоустройство;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400/С-85888 (назначение – сооружение специализированное коммунального хозяйства, наименование – канализационная сеть), протяженностью </w:t>
            </w:r>
            <w:smartTag w:uri="urn:schemas-microsoft-com:office:smarttags" w:element="metricconverter">
              <w:smartTagPr>
                <w:attr w:name="ProductID" w:val="586,0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586,05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400/С-97346 (назначение – сооружение специализированное коммунального хозяйства, наименование – внутриплощадочная фекальная канализация), протяженностью </w:t>
            </w:r>
            <w:smartTag w:uri="urn:schemas-microsoft-com:office:smarttags" w:element="metricconverter">
              <w:smartTagPr>
                <w:attr w:name="ProductID" w:val="325,2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325,25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фекальная канализационная сеть к зданию главного производственного корпуса;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400/С-89982 (назначение – сооружение специализированное коммунального хозяйства, наименование – внеплощадочная ливневая канализация), протяженностью </w:t>
            </w:r>
            <w:smartTag w:uri="urn:schemas-microsoft-com:office:smarttags" w:element="metricconverter">
              <w:smartTagPr>
                <w:attr w:name="ProductID" w:val="1940,2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1940,20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400/С-165712 (назначение – сооружение специализированное коммунального хозяйства, наименование – ливневая канализация), протяженностью 1077,2 м.,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ливневой канализации от здания 121Г;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400/С-89983 (назначение – сооружение специализированное коммунального хозяйства, наименование – внеплощадочная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43,8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243,80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400/С-55845 (назначение – сооружение специализированное энергетики, наименование – внеплощадочная кабельная линия, напряжением 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1018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1018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400/С-74384 (назначение – сооружение специализированное связи, наименование – внутриплощадочная телефонная канализация), протяженностью </w:t>
            </w:r>
            <w:smartTag w:uri="urn:schemas-microsoft-com:office:smarttags" w:element="metricconverter">
              <w:smartTagPr>
                <w:attr w:name="ProductID" w:val="193,2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193,20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400/С-165711 (назначение – сооружение специализированное коммунального хозяйства, наименование – 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водопроводная сеть), протяженностью 57,3 м.,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участки водопроводной сети к зданию 121Г;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400/С-74876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227,8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227,80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400/С-74877 (назначение – сооружение специализированное коммунального хозяйства, наименование – внутриплощадочный пожарный водопровод), протяженностью </w:t>
            </w:r>
            <w:smartTag w:uri="urn:schemas-microsoft-com:office:smarttags" w:element="metricconverter">
              <w:smartTagPr>
                <w:attr w:name="ProductID" w:val="991,36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991,36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400/С-97384 (назначение – сооружение специализированное энергетики, наименование – внутриплощадочная сеть наружного освещения), протяженностью </w:t>
            </w:r>
            <w:smartTag w:uri="urn:schemas-microsoft-com:office:smarttags" w:element="metricconverter">
              <w:smartTagPr>
                <w:attr w:name="ProductID" w:val="420,4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420,40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сеть наружного освещения зданий и сооружений главного производственного корпуса;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400/С-97380 (назначение – сооружение специализированное энергетики, наименование – внутриплощадочная электрическая сеть 0,4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353,1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353,15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электрическая сеть 0,4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к зданиям и сооружениям главного производственного корпуса;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400/С-97392 (назначение – сооружение специализированное энергетики, наименование – внутриплощадочная кабельная линия 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), протяженностью </w:t>
            </w:r>
            <w:smartTag w:uri="urn:schemas-microsoft-com:office:smarttags" w:element="metricconverter">
              <w:smartTagPr>
                <w:attr w:name="ProductID" w:val="473,7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473,70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121, внутриплощадочная кабельная линия 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от РП-10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до ТП-1, от ТП-1 до ТП-2;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400/С-55838 (назначение – сооружение специализированное коммунального хозяйства, наименование – внутриплощадочная напорная канализация), протяженностью </w:t>
            </w:r>
            <w:smartTag w:uri="urn:schemas-microsoft-com:office:smarttags" w:element="metricconverter">
              <w:smartTagPr>
                <w:attr w:name="ProductID" w:val="277,2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277,25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400/С-55842 (назначение – сооружение специализированное коммунального хозяйства, наименование – внутриплощадочный производственный водопровод), протяженностью </w:t>
            </w:r>
            <w:smartTag w:uri="urn:schemas-microsoft-com:office:smarttags" w:element="metricconverter">
              <w:smartTagPr>
                <w:attr w:name="ProductID" w:val="1305,1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1305,15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инв. № 400/С-85887 (назначение – сооружение неустановленного назначения, наименование – мостовое сооружение), протяженностью </w:t>
            </w:r>
            <w:smartTag w:uri="urn:schemas-microsoft-com:office:smarttags" w:element="metricconverter">
              <w:smartTagPr>
                <w:attr w:name="ProductID" w:val="48,00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48,00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Внутриплощадочная кабельная линия 10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марки ААБл3*95, протяженностью </w:t>
            </w:r>
            <w:smartTag w:uri="urn:schemas-microsoft-com:office:smarttags" w:element="metricconverter">
              <w:smartTagPr>
                <w:attr w:name="ProductID" w:val="155 м"/>
              </w:smartTagPr>
              <w:r w:rsidRPr="0008758C">
                <w:rPr>
                  <w:rFonts w:ascii="Times New Roman" w:hAnsi="Times New Roman" w:cs="Times New Roman"/>
                  <w:sz w:val="24"/>
                  <w:szCs w:val="24"/>
                </w:rPr>
                <w:t>155 м</w:t>
              </w:r>
            </w:smartTag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пункты и шкафы распределительные -  67 единиц;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трансформаторная подстанция -3 единицы;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панель ЩО-7024;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трансформатор масляный - 6 единиц;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трансформаторные ячейки КРУ-821-00848 -2 единицы;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дизель-генератор ДГА-3-48;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камера КСО - 3 единицы;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- туя - 3 единицы;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Лот № 1 расположен на земельных участках: 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440100000002000562, площадью 4,2555 га (назначение – обслуживание зданий и сооружений главного производственного корпуса)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121Г;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440100000002006864, площадью 0,0078 га 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(назначение – земельный участок для обслуживания пешеходного моста)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440100000002006865, площадью 0,0016 га (назначение – земельный участок для обслуживания пешеходного моста)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4E2172" w:rsidRPr="0008758C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440100000002006866, площадью 0,0014 га (назначение – земельный участок для обслуживания пешеходного моста)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121;</w:t>
            </w:r>
          </w:p>
          <w:p w:rsidR="009F7B84" w:rsidRPr="004E2172" w:rsidRDefault="004E2172" w:rsidP="004E217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440100000002006867, площадью 0,0073 га (назначение – земельный участок для обслуживания пешеходного моста) по адресу </w:t>
            </w:r>
            <w:proofErr w:type="spell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spellEnd"/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121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D91737" w:rsidP="00710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5 549 337,70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9D492D">
              <w:rPr>
                <w:rFonts w:ascii="Times New Roman" w:hAnsi="Times New Roman" w:cs="Times New Roman"/>
                <w:sz w:val="24"/>
                <w:szCs w:val="24"/>
              </w:rPr>
              <w:t>пять миллионов пятьсот сорок девять тысяч триста тридцать семь рублей семьдесят копеек</w:t>
            </w:r>
            <w:r w:rsidRPr="0008758C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7B84" w:rsidRPr="0048348C" w:rsidRDefault="009F7B84" w:rsidP="00C57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BE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91737">
              <w:rPr>
                <w:rFonts w:ascii="Times New Roman" w:hAnsi="Times New Roman" w:cs="Times New Roman"/>
                <w:sz w:val="24"/>
                <w:szCs w:val="24"/>
              </w:rPr>
              <w:t>554 933</w:t>
            </w:r>
            <w:r w:rsidR="00D91737" w:rsidRPr="0008758C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D91737" w:rsidRPr="009D492D">
              <w:rPr>
                <w:rFonts w:ascii="Times New Roman" w:hAnsi="Times New Roman" w:cs="Times New Roman"/>
                <w:sz w:val="24"/>
                <w:szCs w:val="24"/>
              </w:rPr>
              <w:t>пятьсот пятьдесят четыре тысячи девятьсот тридцать три рубля</w:t>
            </w:r>
            <w:r w:rsidR="00D91737" w:rsidRPr="000875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1737" w:rsidRPr="00AB6503" w:rsidRDefault="00D91737" w:rsidP="00D9173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D91737" w:rsidP="00D9173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AB6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.2023 г. до 15.00</w:t>
            </w:r>
            <w:bookmarkStart w:id="0" w:name="_GoBack"/>
            <w:bookmarkEnd w:id="0"/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5B3BB0" w:rsidP="005B3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Гроднотекстиль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23001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г. Гродно, ул. Горького, 121, </w:t>
            </w:r>
            <w:r w:rsidRPr="005B3BB0">
              <w:rPr>
                <w:rFonts w:ascii="Times New Roman" w:hAnsi="Times New Roman" w:cs="Times New Roman"/>
                <w:sz w:val="24"/>
                <w:szCs w:val="24"/>
              </w:rPr>
              <w:t>тел./факс 63-35-78, 8-029-28-58-850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A22BE" w:rsidRDefault="00711DEA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BA22BE" w:rsidRDefault="00BA22BE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</w:t>
            </w:r>
            <w:r w:rsidRPr="00BA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на организацию и проведение аукциона, в том числе затрат по уплате вознаграждения организатору аукциона в размере 3 %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конечной цены продажи объекта.</w:t>
            </w:r>
          </w:p>
          <w:p w:rsidR="005B3BB0" w:rsidRPr="00A63AA2" w:rsidRDefault="00BA22BE" w:rsidP="00BA2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</w:t>
            </w:r>
            <w:r w:rsidRPr="00BA2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озмещение победителем аукциона (лицом, приравненным к победителю аукциона) затрат Продавца по проведению независимой оценки в размере 2 161,50 р.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Лицо, желающее принять участие в аукционе, не позднее срока, указанного в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81344" w:rsidRPr="00A63AA2">
              <w:t xml:space="preserve">3 200 р. (три </w:t>
            </w:r>
            <w:r w:rsidR="00F81344" w:rsidRPr="00A63AA2">
              <w:lastRenderedPageBreak/>
              <w:t>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23729F"/>
    <w:rsid w:val="00430C07"/>
    <w:rsid w:val="0048348C"/>
    <w:rsid w:val="004E2172"/>
    <w:rsid w:val="005B3BB0"/>
    <w:rsid w:val="006538CF"/>
    <w:rsid w:val="006A22A7"/>
    <w:rsid w:val="00711DEA"/>
    <w:rsid w:val="007E0F24"/>
    <w:rsid w:val="00995DE2"/>
    <w:rsid w:val="009F7B84"/>
    <w:rsid w:val="00A17DBE"/>
    <w:rsid w:val="00A4280D"/>
    <w:rsid w:val="00A63AA2"/>
    <w:rsid w:val="00AB1F9D"/>
    <w:rsid w:val="00BA22BE"/>
    <w:rsid w:val="00BA5849"/>
    <w:rsid w:val="00C57533"/>
    <w:rsid w:val="00D91737"/>
    <w:rsid w:val="00DF5021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E2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21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2023-12-01T06:14:00Z</dcterms:created>
  <dcterms:modified xsi:type="dcterms:W3CDTF">2023-12-01T06:14:00Z</dcterms:modified>
</cp:coreProperties>
</file>