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100" w:rsidRPr="00793E9D" w:rsidRDefault="00583100" w:rsidP="0058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</w:t>
            </w:r>
            <w:r w:rsidRPr="00793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E9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общества.</w:t>
            </w:r>
          </w:p>
          <w:p w:rsidR="006538CF" w:rsidRPr="00A63AA2" w:rsidRDefault="00583100" w:rsidP="00583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793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3E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100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583100" w:rsidRPr="00FA0BD9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401/С-2409, площадью – 117,0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., (назначение – Здание специализированное розничной торговли, наименование – Здание магазина), расположенное по адресу: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Гродненская область, Гродненский район,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Обуховскийс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/с, д.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Плавы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, 16.</w:t>
            </w:r>
          </w:p>
          <w:p w:rsidR="00583100" w:rsidRPr="00FA0BD9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 с инв. № 401/С-30428, площадью – 52,7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., (назначение – </w:t>
            </w: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торговых баз, баз материально-технического снабжения, хранилищ, наименование – Склад), расположенное по адресу: Гродненская область, Гродненский район,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Обуховскийс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/с, д.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Плавы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16/1.</w:t>
            </w:r>
          </w:p>
          <w:p w:rsidR="00711DEA" w:rsidRPr="00583100" w:rsidRDefault="00583100" w:rsidP="00DA5B6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422086008601000009, площадью 0,0605 га</w:t>
            </w: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азначение – для обслуживания здания магазина и склада), расположен по адресу: Гродненская область, Гродненский район,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Обуховскийс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/с, д.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Плавы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16. Земельный участок предоставлен Гродненскому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облпотребобществу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аренды, имеет ограничения (обременения) в использовании земель (ограничения (обременения) прав на земельные участки, расположенные в </w:t>
            </w:r>
            <w:proofErr w:type="spellStart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FA0BD9">
              <w:rPr>
                <w:rFonts w:ascii="Times New Roman" w:hAnsi="Times New Roman" w:cs="Times New Roman"/>
                <w:sz w:val="24"/>
                <w:szCs w:val="24"/>
              </w:rPr>
              <w:t xml:space="preserve"> зонах рек и водоемов), код – 2,4, площадью – 0,0605 га.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E18B5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172,</w:t>
            </w:r>
            <w:r w:rsidRPr="009E5D3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45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 w:rsidRPr="009E5D32">
              <w:rPr>
                <w:rFonts w:ascii="Times New Roman" w:hAnsi="Times New Roman" w:cs="Times New Roman"/>
                <w:sz w:val="24"/>
                <w:szCs w:val="24"/>
              </w:rPr>
              <w:t>тридцать шесть тысяч сто семьдесят два рубля девяносто копеек</w:t>
            </w:r>
            <w:r w:rsidRPr="00956445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E18B5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3 617</w:t>
            </w:r>
            <w:r w:rsidRPr="002B27FD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Pr="009E5D32">
              <w:rPr>
                <w:rFonts w:ascii="Times New Roman" w:hAnsi="Times New Roman" w:cs="Times New Roman"/>
                <w:sz w:val="24"/>
                <w:szCs w:val="24"/>
              </w:rPr>
              <w:t>три тысячи шестьсот семнадцать рублей</w:t>
            </w:r>
            <w:r w:rsidRPr="002B27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3100" w:rsidRPr="00793E9D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583100" w:rsidP="005831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79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462598" w:rsidP="00AB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598">
              <w:rPr>
                <w:rFonts w:ascii="Times New Roman" w:hAnsi="Times New Roman" w:cs="Times New Roman"/>
                <w:sz w:val="24"/>
                <w:szCs w:val="24"/>
              </w:rPr>
              <w:t>Гродненский городской филиал Гродненского областного потребительского общества, 230001, г. Гродно, ул. Суворова, 298, тел. 8-0152-52-02-88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B6876" w:rsidRPr="002B6876" w:rsidRDefault="002B6876" w:rsidP="002B6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асходы по государственной регистрации договора купли-продажи, 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перехода права собствен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ности возлагаются на Покупателя.</w:t>
            </w:r>
          </w:p>
          <w:p w:rsidR="002B6876" w:rsidRPr="002B27FD" w:rsidRDefault="002B6876" w:rsidP="002B68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 П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раво собственности переходит к Покупателю после полной оплаты, передачи объекта и государственной регистрации данного права в РУП "Гродненское агентство по государственной рег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истрации и земельному кадастру".</w:t>
            </w:r>
          </w:p>
          <w:p w:rsidR="002B6876" w:rsidRPr="00A63AA2" w:rsidRDefault="002B6876" w:rsidP="002B6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 Д</w:t>
            </w:r>
            <w:r w:rsidRPr="002B27F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окументом, подтверждающим передачу имущества, является акт приема-передачи.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583100" w:rsidRPr="00583100">
              <w:t>40</w:t>
            </w:r>
            <w:r w:rsidR="00F81344" w:rsidRPr="00A63AA2">
              <w:t>00 р. (</w:t>
            </w:r>
            <w:r w:rsidR="00583100">
              <w:t xml:space="preserve">четыре тысячи </w:t>
            </w:r>
            <w:bookmarkStart w:id="0" w:name="_GoBack"/>
            <w:bookmarkEnd w:id="0"/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23729F"/>
    <w:rsid w:val="002B6876"/>
    <w:rsid w:val="00430C07"/>
    <w:rsid w:val="00446D35"/>
    <w:rsid w:val="00462598"/>
    <w:rsid w:val="00583100"/>
    <w:rsid w:val="006538CF"/>
    <w:rsid w:val="006A22A7"/>
    <w:rsid w:val="006E18B5"/>
    <w:rsid w:val="00711DEA"/>
    <w:rsid w:val="007E0F24"/>
    <w:rsid w:val="00995DE2"/>
    <w:rsid w:val="00A17DBE"/>
    <w:rsid w:val="00A4280D"/>
    <w:rsid w:val="00A63929"/>
    <w:rsid w:val="00A63AA2"/>
    <w:rsid w:val="00AB1F9D"/>
    <w:rsid w:val="00BA5849"/>
    <w:rsid w:val="00C57533"/>
    <w:rsid w:val="00DA5B6F"/>
    <w:rsid w:val="00E74E4A"/>
    <w:rsid w:val="00F01707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2024-09-17T05:49:00Z</dcterms:created>
  <dcterms:modified xsi:type="dcterms:W3CDTF">2024-09-17T05:49:00Z</dcterms:modified>
</cp:coreProperties>
</file>