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9138B0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353F8E8D" w:rsidR="00FE25B0" w:rsidRPr="00705C02" w:rsidRDefault="00615616" w:rsidP="009138B0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385B90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0B5BAC7E" w14:textId="2ACE492E" w:rsidR="00633767" w:rsidRPr="00705C02" w:rsidRDefault="00BB2F14" w:rsidP="00385B90">
            <w:pPr>
              <w:ind w:left="4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138B0" w:rsidRPr="009138B0">
              <w:rPr>
                <w:sz w:val="28"/>
                <w:szCs w:val="28"/>
              </w:rPr>
              <w:t>акрыт</w:t>
            </w:r>
            <w:r>
              <w:rPr>
                <w:sz w:val="28"/>
                <w:szCs w:val="28"/>
              </w:rPr>
              <w:t xml:space="preserve">ого </w:t>
            </w:r>
            <w:r w:rsidR="009138B0" w:rsidRPr="009138B0">
              <w:rPr>
                <w:sz w:val="28"/>
                <w:szCs w:val="28"/>
              </w:rPr>
              <w:t xml:space="preserve">акционерное общество «Завод приборов автоматического контроля» </w:t>
            </w:r>
            <w:r w:rsidR="00705C02"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385B90">
              <w:rPr>
                <w:b/>
                <w:sz w:val="28"/>
                <w:szCs w:val="28"/>
              </w:rPr>
              <w:t>16 декабря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615616" w:rsidRPr="00705C02">
              <w:rPr>
                <w:b/>
                <w:sz w:val="28"/>
                <w:szCs w:val="28"/>
              </w:rPr>
              <w:t>5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385B90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75797521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3D51F8">
              <w:rPr>
                <w:color w:val="000000"/>
                <w:spacing w:val="-4"/>
              </w:rPr>
              <w:t>лотах</w:t>
            </w:r>
            <w:r w:rsidR="00036118">
              <w:rPr>
                <w:color w:val="000000"/>
                <w:spacing w:val="-4"/>
              </w:rPr>
              <w:t xml:space="preserve"> </w:t>
            </w:r>
            <w:r w:rsidR="00583B15">
              <w:rPr>
                <w:color w:val="000000"/>
                <w:spacing w:val="-4"/>
              </w:rPr>
              <w:t>(объектах</w:t>
            </w:r>
            <w:r w:rsidR="00647425">
              <w:rPr>
                <w:color w:val="000000"/>
                <w:spacing w:val="-4"/>
              </w:rPr>
              <w:t xml:space="preserve"> недвижимости</w:t>
            </w:r>
            <w:r w:rsidR="00583B15">
              <w:rPr>
                <w:color w:val="000000"/>
                <w:spacing w:val="-4"/>
              </w:rPr>
              <w:t xml:space="preserve">, </w:t>
            </w:r>
            <w:r w:rsidR="00647425">
              <w:rPr>
                <w:color w:val="000000"/>
                <w:spacing w:val="-4"/>
              </w:rPr>
              <w:t>и земельном участке)</w:t>
            </w:r>
            <w:r w:rsidR="00036118">
              <w:rPr>
                <w:color w:val="000000"/>
                <w:spacing w:val="-4"/>
              </w:rPr>
              <w:t>: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730D3" w14:textId="77777777" w:rsidR="003D51F8" w:rsidRPr="0069163A" w:rsidRDefault="003D51F8" w:rsidP="003D51F8">
            <w:pPr>
              <w:ind w:right="-30" w:firstLine="709"/>
              <w:jc w:val="both"/>
            </w:pPr>
            <w:r w:rsidRPr="009404E1">
              <w:rPr>
                <w:b/>
                <w:color w:val="000000"/>
                <w:spacing w:val="-4"/>
              </w:rPr>
              <w:t>Лот № 1</w:t>
            </w:r>
            <w:r>
              <w:rPr>
                <w:color w:val="000000"/>
                <w:spacing w:val="-4"/>
              </w:rPr>
              <w:t xml:space="preserve"> </w:t>
            </w:r>
            <w:r w:rsidRPr="0069163A">
              <w:t xml:space="preserve">. </w:t>
            </w:r>
            <w:r>
              <w:t>К</w:t>
            </w:r>
            <w:r w:rsidRPr="0069163A">
              <w:t xml:space="preserve">апитальное строение, инв. № </w:t>
            </w:r>
            <w:r>
              <w:t>240/</w:t>
            </w:r>
            <w:r w:rsidRPr="0069163A">
              <w:t>С-</w:t>
            </w:r>
            <w:r w:rsidRPr="00F75541">
              <w:t>31408</w:t>
            </w:r>
            <w:r w:rsidRPr="0069163A">
              <w:t xml:space="preserve">, наименование – </w:t>
            </w:r>
            <w:r w:rsidRPr="00F75541">
              <w:t> здание главного корпуса</w:t>
            </w:r>
            <w:r w:rsidRPr="0069163A">
              <w:t xml:space="preserve">, назначение – </w:t>
            </w:r>
            <w:r w:rsidRPr="00F75541">
              <w:t> здание неустановленного назначения</w:t>
            </w:r>
            <w:r w:rsidRPr="0069163A">
              <w:t xml:space="preserve">, общей площадью </w:t>
            </w:r>
            <w:r>
              <w:t>22306</w:t>
            </w:r>
            <w:r w:rsidRPr="0069163A">
              <w:t xml:space="preserve"> </w:t>
            </w:r>
            <w:proofErr w:type="spellStart"/>
            <w:r w:rsidRPr="0069163A">
              <w:t>кв.м</w:t>
            </w:r>
            <w:proofErr w:type="spellEnd"/>
            <w:r w:rsidRPr="0069163A">
              <w:t xml:space="preserve">., </w:t>
            </w:r>
            <w:r w:rsidRPr="00F75541">
              <w:t>составные части и принадлежности: четырехэтажное каменное здание главного корпуса с двумя девятиэтажными каменными пристройками,</w:t>
            </w:r>
            <w:r w:rsidRPr="0069163A">
              <w:t xml:space="preserve"> расположенное по адресу: </w:t>
            </w:r>
            <w:r w:rsidRPr="00E54B96">
              <w:t>Витебская обл., Оршанский р-н, г. Орша, ул. Владимира Ленина, 223</w:t>
            </w:r>
          </w:p>
          <w:p w14:paraId="7098E56B" w14:textId="0000D380" w:rsidR="003D51F8" w:rsidRPr="00F75541" w:rsidRDefault="003D51F8" w:rsidP="003D51F8">
            <w:pPr>
              <w:ind w:firstLine="720"/>
              <w:jc w:val="both"/>
            </w:pPr>
            <w:r w:rsidRPr="0069163A">
              <w:t xml:space="preserve">Объект расположен на земельном участке с кадастровым номером </w:t>
            </w:r>
            <w:r w:rsidRPr="00F75541">
              <w:t xml:space="preserve">223650100001013593 </w:t>
            </w:r>
            <w:r w:rsidRPr="0069163A">
              <w:t xml:space="preserve">площадью </w:t>
            </w:r>
            <w:r>
              <w:t>0,6556</w:t>
            </w:r>
            <w:r w:rsidRPr="0069163A">
              <w:t xml:space="preserve"> га по адресу: </w:t>
            </w:r>
            <w:r w:rsidRPr="00F75541">
              <w:t>Витебская обл., Оршанский р-н, г. Орша, ул. Владимира Ленина, 223</w:t>
            </w:r>
          </w:p>
          <w:p w14:paraId="34A620C0" w14:textId="77777777" w:rsidR="003D51F8" w:rsidRPr="00F75541" w:rsidRDefault="003D51F8" w:rsidP="003D51F8">
            <w:pPr>
              <w:ind w:firstLine="709"/>
            </w:pPr>
            <w:r w:rsidRPr="00F75541">
              <w:t>Целевое назначение земельного участка: для обслуживания здания главного корпуса</w:t>
            </w:r>
          </w:p>
          <w:p w14:paraId="6443285C" w14:textId="77777777" w:rsidR="003D51F8" w:rsidRPr="00F75541" w:rsidRDefault="003D51F8" w:rsidP="003D51F8">
            <w:pPr>
              <w:ind w:firstLine="709"/>
            </w:pPr>
            <w:r w:rsidRPr="00F75541">
              <w:t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обрабатывающей промышленности</w:t>
            </w:r>
          </w:p>
          <w:p w14:paraId="0FF8BB55" w14:textId="77777777" w:rsidR="003D51F8" w:rsidRPr="0069163A" w:rsidRDefault="003D51F8" w:rsidP="003D51F8">
            <w:pPr>
              <w:ind w:firstLine="720"/>
              <w:jc w:val="both"/>
            </w:pPr>
            <w:r w:rsidRPr="0069163A">
              <w:t xml:space="preserve">Имущественные права: </w:t>
            </w:r>
          </w:p>
          <w:p w14:paraId="543752C4" w14:textId="0EED9903" w:rsidR="003D51F8" w:rsidRPr="00F75541" w:rsidRDefault="00BB2F14" w:rsidP="003D51F8">
            <w:pPr>
              <w:ind w:firstLine="720"/>
              <w:jc w:val="both"/>
            </w:pPr>
            <w:r>
              <w:t>- на капитально</w:t>
            </w:r>
            <w:r w:rsidR="003D51F8" w:rsidRPr="0069163A">
              <w:t>е строени</w:t>
            </w:r>
            <w:r>
              <w:t>е</w:t>
            </w:r>
            <w:r w:rsidR="003D51F8" w:rsidRPr="0069163A">
              <w:t xml:space="preserve">: право собственности – </w:t>
            </w:r>
            <w:r w:rsidR="003D51F8" w:rsidRPr="00F75541">
              <w:t>Закрытое акционерное общество "Завод приборов автоматического контроля"</w:t>
            </w:r>
          </w:p>
          <w:p w14:paraId="696F0D74" w14:textId="77777777" w:rsidR="003D51F8" w:rsidRDefault="003D51F8" w:rsidP="003D51F8">
            <w:pPr>
              <w:ind w:firstLine="720"/>
              <w:jc w:val="both"/>
            </w:pPr>
            <w:r w:rsidRPr="0069163A">
              <w:t xml:space="preserve">- на земельный участок: право собственности – Республика Беларусь; право </w:t>
            </w:r>
            <w:r>
              <w:t>постоянного пользования</w:t>
            </w:r>
            <w:r w:rsidRPr="0069163A">
              <w:t xml:space="preserve"> – </w:t>
            </w:r>
            <w:r w:rsidRPr="00F75541">
              <w:t>Закрытое акционерное общество "Завод приборов автоматического контроля"</w:t>
            </w:r>
          </w:p>
          <w:p w14:paraId="48A5A5BD" w14:textId="400BD825" w:rsidR="00647425" w:rsidRPr="00C21B43" w:rsidRDefault="003D51F8" w:rsidP="00795056">
            <w:pPr>
              <w:ind w:firstLine="851"/>
            </w:pPr>
            <w:r w:rsidRPr="00F75541">
              <w:t>Описание права, ограничения (обременения) прав: </w:t>
            </w:r>
            <w:proofErr w:type="spellStart"/>
            <w:r>
              <w:t>в</w:t>
            </w:r>
            <w:r w:rsidRPr="00F75541">
              <w:t>одоохранная</w:t>
            </w:r>
            <w:proofErr w:type="spellEnd"/>
            <w:r w:rsidRPr="00F75541">
              <w:t xml:space="preserve"> зона водного объекта (река Днепр), площадь 0.6556 га</w:t>
            </w:r>
          </w:p>
        </w:tc>
      </w:tr>
      <w:tr w:rsidR="00425EB4" w:rsidRPr="00ED44A8" w14:paraId="2EF3D14C" w14:textId="77777777" w:rsidTr="00705C02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68AD5" w14:textId="77777777" w:rsidR="00795056" w:rsidRPr="0020526C" w:rsidRDefault="00795056" w:rsidP="00795056">
            <w:pPr>
              <w:jc w:val="both"/>
              <w:rPr>
                <w:b/>
              </w:rPr>
            </w:pPr>
            <w:r w:rsidRPr="0020526C">
              <w:rPr>
                <w:b/>
              </w:rPr>
              <w:t xml:space="preserve">Обременение на объект недвижимости: </w:t>
            </w:r>
          </w:p>
          <w:p w14:paraId="3C8B57CA" w14:textId="5C1B7E3B" w:rsidR="00425EB4" w:rsidRDefault="00425EB4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F7501B" w14:textId="77777777" w:rsidR="003D51F8" w:rsidRPr="0020526C" w:rsidRDefault="003D51F8" w:rsidP="003D51F8">
            <w:pPr>
              <w:ind w:firstLine="720"/>
              <w:jc w:val="both"/>
            </w:pPr>
            <w:r w:rsidRPr="0020526C">
              <w:t xml:space="preserve">-договор аренды от 05.08.2024 № 76, арендуемая площадь 10226,26 </w:t>
            </w:r>
            <w:proofErr w:type="spellStart"/>
            <w:r w:rsidRPr="0020526C">
              <w:t>кв.м</w:t>
            </w:r>
            <w:proofErr w:type="spellEnd"/>
            <w:r w:rsidRPr="0020526C">
              <w:t>., срок действия по 31.12.2026</w:t>
            </w:r>
          </w:p>
          <w:p w14:paraId="48B3A5FE" w14:textId="2758289A" w:rsidR="00425EB4" w:rsidRPr="00C21B43" w:rsidRDefault="003D51F8" w:rsidP="003D51F8">
            <w:pPr>
              <w:ind w:firstLine="720"/>
              <w:jc w:val="both"/>
              <w:rPr>
                <w:iCs/>
                <w:color w:val="000000"/>
              </w:rPr>
            </w:pPr>
            <w:r w:rsidRPr="0020526C">
              <w:t xml:space="preserve">-договор аренды от 01.08.2022 № 12-19/2022, арендуемая площадь 47 </w:t>
            </w:r>
            <w:proofErr w:type="spellStart"/>
            <w:r w:rsidRPr="0020526C">
              <w:t>кв.м</w:t>
            </w:r>
            <w:proofErr w:type="spellEnd"/>
            <w:r w:rsidRPr="0020526C">
              <w:t>., срок действия по 01.08.2027</w:t>
            </w:r>
          </w:p>
        </w:tc>
      </w:tr>
      <w:tr w:rsidR="001E0AFD" w:rsidRPr="00ED44A8" w14:paraId="5642C804" w14:textId="77777777" w:rsidTr="00C21B43">
        <w:trPr>
          <w:trHeight w:val="6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47131" w14:textId="3514DD04" w:rsidR="001E0AFD" w:rsidRPr="00C21B43" w:rsidRDefault="001E0AFD" w:rsidP="00564DAC">
            <w:r w:rsidRPr="00C21B43">
              <w:t xml:space="preserve">Начальная цена продажи </w:t>
            </w:r>
            <w:r w:rsidR="00E1762A">
              <w:t xml:space="preserve"> с учетом</w:t>
            </w:r>
            <w:r w:rsidR="00564DAC" w:rsidRPr="00C21B43">
              <w:t xml:space="preserve"> НДС</w:t>
            </w:r>
            <w:r w:rsidR="00E1762A">
              <w:t xml:space="preserve"> 20%</w:t>
            </w:r>
            <w:r w:rsidRPr="00C21B43">
              <w:t>, руб.</w:t>
            </w:r>
            <w:r w:rsidR="00643931" w:rsidRPr="00C21B43">
              <w:t xml:space="preserve"> </w:t>
            </w:r>
            <w:r w:rsidR="00385B90">
              <w:t>(снижена на 60%)</w:t>
            </w:r>
            <w:bookmarkStart w:id="0" w:name="_GoBack"/>
            <w:bookmarkEnd w:id="0"/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074083" w14:textId="510611BA" w:rsidR="001E0AFD" w:rsidRPr="003D51F8" w:rsidRDefault="00385B90" w:rsidP="003D51F8">
            <w:pPr>
              <w:jc w:val="both"/>
              <w:rPr>
                <w:b/>
              </w:rPr>
            </w:pPr>
            <w:r w:rsidRPr="00385B90">
              <w:rPr>
                <w:b/>
                <w:color w:val="000000"/>
                <w:spacing w:val="-4"/>
              </w:rPr>
              <w:t>1 248 000,00 (Один миллион двести сорок восемь тысяч) белорусских рублей 00 копеек  с учетом НДС 20%</w:t>
            </w:r>
          </w:p>
        </w:tc>
      </w:tr>
      <w:tr w:rsidR="001E0AFD" w:rsidRPr="00ED44A8" w14:paraId="10A82A33" w14:textId="77777777" w:rsidTr="00EC0CF2">
        <w:trPr>
          <w:trHeight w:val="71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0518093C" w:rsidR="001E0AFD" w:rsidRPr="00C21B43" w:rsidRDefault="003D51F8" w:rsidP="003D51F8">
            <w:pPr>
              <w:jc w:val="both"/>
              <w:rPr>
                <w:b/>
              </w:rPr>
            </w:pPr>
            <w:r w:rsidRPr="003C3F97">
              <w:rPr>
                <w:color w:val="000000"/>
              </w:rPr>
              <w:t>в размере</w:t>
            </w:r>
            <w:r>
              <w:rPr>
                <w:color w:val="000000"/>
              </w:rPr>
              <w:t xml:space="preserve"> </w:t>
            </w:r>
            <w:r w:rsidRPr="00094F82">
              <w:rPr>
                <w:color w:val="000000"/>
              </w:rPr>
              <w:t>10%</w:t>
            </w:r>
            <w:r>
              <w:rPr>
                <w:color w:val="000000"/>
              </w:rPr>
              <w:t xml:space="preserve"> от начальной цены продажи</w:t>
            </w: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3D51F8">
        <w:trPr>
          <w:trHeight w:val="4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5AD58B5B" w:rsidR="00EC0CF2" w:rsidRPr="00C21B43" w:rsidRDefault="00705C02" w:rsidP="00385B90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3D51F8">
              <w:rPr>
                <w:b/>
                <w:bCs/>
              </w:rPr>
              <w:t>1</w:t>
            </w:r>
            <w:r w:rsidR="00385B90">
              <w:rPr>
                <w:b/>
                <w:bCs/>
              </w:rPr>
              <w:t>5</w:t>
            </w:r>
            <w:r w:rsidR="003D51F8">
              <w:rPr>
                <w:b/>
                <w:bCs/>
              </w:rPr>
              <w:t>.1</w:t>
            </w:r>
            <w:r w:rsidR="00385B90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.202</w:t>
            </w:r>
            <w:r w:rsidR="00615616">
              <w:rPr>
                <w:b/>
                <w:bCs/>
              </w:rPr>
              <w:t>5</w:t>
            </w:r>
            <w:r w:rsidR="00EC0CF2" w:rsidRPr="00C21B43">
              <w:rPr>
                <w:b/>
                <w:bCs/>
              </w:rPr>
              <w:t xml:space="preserve"> до 1</w:t>
            </w:r>
            <w:r w:rsidR="00385B90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3D51F8" w:rsidRPr="00ED44A8" w14:paraId="74AF3A41" w14:textId="77777777" w:rsidTr="00C21B43">
        <w:trPr>
          <w:trHeight w:val="12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B9F80" w14:textId="77777777" w:rsidR="003D51F8" w:rsidRPr="003D51F8" w:rsidRDefault="003D51F8" w:rsidP="003D51F8">
            <w:r w:rsidRPr="003D51F8">
              <w:t>Контактное лицо для осмотра Объекта</w:t>
            </w:r>
          </w:p>
          <w:p w14:paraId="66FAD5A2" w14:textId="77777777" w:rsidR="003D51F8" w:rsidRPr="00C21B43" w:rsidRDefault="003D51F8" w:rsidP="00EC0CF2">
            <w:pPr>
              <w:rPr>
                <w:color w:val="000000"/>
              </w:rPr>
            </w:pP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E2A3B5" w14:textId="7572DB4C" w:rsidR="003D51F8" w:rsidRDefault="003D51F8" w:rsidP="003D51F8">
            <w:pPr>
              <w:jc w:val="both"/>
              <w:rPr>
                <w:b/>
                <w:bCs/>
              </w:rPr>
            </w:pPr>
            <w:proofErr w:type="spellStart"/>
            <w:r>
              <w:t>Пус</w:t>
            </w:r>
            <w:proofErr w:type="spellEnd"/>
            <w:r>
              <w:t xml:space="preserve"> Вадим Александрович +375 29 139-00-95</w:t>
            </w:r>
          </w:p>
        </w:tc>
      </w:tr>
      <w:tr w:rsidR="001E0AFD" w:rsidRPr="00ED44A8" w14:paraId="06D0B5C9" w14:textId="77777777" w:rsidTr="003D51F8">
        <w:trPr>
          <w:trHeight w:val="34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9F3057" w14:textId="77777777" w:rsidR="003D51F8" w:rsidRDefault="003D51F8" w:rsidP="003D51F8">
            <w:pPr>
              <w:jc w:val="both"/>
            </w:pPr>
            <w:r>
              <w:t xml:space="preserve">Закрытое акционерное общество «Завод приборов автоматического контроля», УНП 300228919, </w:t>
            </w:r>
            <w:proofErr w:type="gramStart"/>
            <w:r>
              <w:t>р</w:t>
            </w:r>
            <w:proofErr w:type="gramEnd"/>
            <w:r>
              <w:t xml:space="preserve">/с </w:t>
            </w:r>
            <w:r>
              <w:rPr>
                <w:lang w:val="en-US"/>
              </w:rPr>
              <w:t>BY</w:t>
            </w:r>
            <w:r>
              <w:t>12</w:t>
            </w:r>
            <w:r>
              <w:rPr>
                <w:lang w:val="en-US"/>
              </w:rPr>
              <w:t>AKBB</w:t>
            </w:r>
            <w:r>
              <w:t xml:space="preserve">30120405482992200000 в ОАО «АСБ </w:t>
            </w:r>
            <w:proofErr w:type="spellStart"/>
            <w:r>
              <w:t>Белорусбанк</w:t>
            </w:r>
            <w:proofErr w:type="spellEnd"/>
            <w:r>
              <w:t xml:space="preserve">» г. Минск, </w:t>
            </w:r>
            <w:r>
              <w:rPr>
                <w:lang w:val="en-US"/>
              </w:rPr>
              <w:t>BIC</w:t>
            </w:r>
            <w:r w:rsidRPr="003D51F8">
              <w:t xml:space="preserve"> </w:t>
            </w:r>
            <w:r>
              <w:rPr>
                <w:lang w:val="en-US"/>
              </w:rPr>
              <w:t>AKBBBY</w:t>
            </w:r>
            <w:r>
              <w:t>2</w:t>
            </w:r>
            <w:r>
              <w:rPr>
                <w:lang w:val="en-US"/>
              </w:rPr>
              <w:t>X</w:t>
            </w:r>
            <w:r>
              <w:t>, адрес банка пр-т. Дзержинского, 18. Г. Минск</w:t>
            </w:r>
          </w:p>
          <w:p w14:paraId="2E0E321A" w14:textId="77777777" w:rsidR="003D51F8" w:rsidRDefault="003D51F8" w:rsidP="003D51F8">
            <w:pPr>
              <w:jc w:val="both"/>
            </w:pPr>
            <w:r>
              <w:t>+375 29 740 03 60</w:t>
            </w:r>
          </w:p>
          <w:p w14:paraId="31723E67" w14:textId="71A4E7A2" w:rsidR="001E0AFD" w:rsidRPr="00583B15" w:rsidRDefault="003D51F8" w:rsidP="003D51F8">
            <w:pPr>
              <w:rPr>
                <w:color w:val="2C2D2E"/>
              </w:rPr>
            </w:pPr>
            <w:r>
              <w:rPr>
                <w:lang w:val="en-US"/>
              </w:rPr>
              <w:t>urzpak@gmail.com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lastRenderedPageBreak/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385B90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05F7B8AB" w:rsidR="00872F7F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72F7F" w:rsidRPr="00C21B43" w:rsidRDefault="00872F7F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C21B43" w:rsidRDefault="00872F7F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9BFB15" w14:textId="77777777" w:rsidR="003D51F8" w:rsidRPr="003C3F97" w:rsidRDefault="003D51F8" w:rsidP="003D51F8">
            <w:pPr>
              <w:ind w:right="-30" w:firstLine="709"/>
              <w:contextualSpacing/>
              <w:jc w:val="both"/>
              <w:rPr>
                <w:b/>
                <w:bCs/>
                <w:color w:val="000000"/>
              </w:rPr>
            </w:pPr>
            <w:r w:rsidRPr="003C3F97">
              <w:rPr>
                <w:color w:val="000000"/>
              </w:rP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 w:rsidRPr="003C3F97">
              <w:rPr>
                <w:color w:val="000000"/>
              </w:rPr>
              <w:t>начальной цене, увеличенной на пять</w:t>
            </w:r>
            <w:proofErr w:type="gramEnd"/>
            <w:r w:rsidRPr="003C3F97">
              <w:rPr>
                <w:color w:val="000000"/>
              </w:rPr>
              <w:t xml:space="preserve"> процентов (далее – Претендент на покупку), обязан:</w:t>
            </w:r>
          </w:p>
          <w:p w14:paraId="64FC53C8" w14:textId="366C1105" w:rsidR="003D51F8" w:rsidRPr="003C3F97" w:rsidRDefault="003D51F8" w:rsidP="003D51F8">
            <w:pPr>
              <w:ind w:firstLine="709"/>
              <w:jc w:val="both"/>
              <w:rPr>
                <w:color w:val="000000"/>
              </w:rPr>
            </w:pPr>
            <w:r w:rsidRPr="00F42802">
              <w:rPr>
                <w:color w:val="000000"/>
              </w:rPr>
              <w:t xml:space="preserve">подписать </w:t>
            </w:r>
            <w:r w:rsidRPr="003C3F97">
              <w:rPr>
                <w:color w:val="000000"/>
              </w:rPr>
              <w:t>с Продавцом договор купли-продажи в течение</w:t>
            </w:r>
            <w:r w:rsidR="0057289E">
              <w:rPr>
                <w:color w:val="000000"/>
              </w:rPr>
              <w:t xml:space="preserve"> </w:t>
            </w:r>
            <w:r w:rsidR="0057289E" w:rsidRPr="0057289E">
              <w:rPr>
                <w:color w:val="000000"/>
              </w:rPr>
              <w:t>10 (десяти</w:t>
            </w:r>
            <w:r w:rsidR="0057289E">
              <w:rPr>
                <w:color w:val="000000"/>
              </w:rPr>
              <w:t>)</w:t>
            </w:r>
            <w:r w:rsidRPr="003C3F97">
              <w:rPr>
                <w:color w:val="000000"/>
              </w:rPr>
              <w:t xml:space="preserve"> </w:t>
            </w:r>
            <w:r w:rsidRPr="00F42802">
              <w:rPr>
                <w:color w:val="000000"/>
              </w:rPr>
              <w:t xml:space="preserve"> рабочих дней</w:t>
            </w:r>
            <w:r w:rsidRPr="003C3F97">
              <w:rPr>
                <w:color w:val="000000"/>
              </w:rPr>
              <w:t xml:space="preserve"> со дня проведения электронных торгов (после предъявления Доверителю платежного документа, подтверждающего оплату вознаграждения)</w:t>
            </w:r>
            <w:r>
              <w:rPr>
                <w:color w:val="000000"/>
              </w:rPr>
              <w:t>;</w:t>
            </w:r>
          </w:p>
          <w:p w14:paraId="3F2702F0" w14:textId="77777777" w:rsidR="003D51F8" w:rsidRDefault="003D51F8" w:rsidP="003D51F8">
            <w:pPr>
              <w:ind w:firstLine="709"/>
              <w:jc w:val="both"/>
              <w:rPr>
                <w:color w:val="000000"/>
              </w:rPr>
            </w:pPr>
            <w:r w:rsidRPr="003C3F97">
              <w:rPr>
                <w:color w:val="000000"/>
              </w:rPr>
              <w:t xml:space="preserve">оплатить предмет электронных торгов в течение </w:t>
            </w:r>
            <w:r w:rsidRPr="0020526C">
              <w:rPr>
                <w:color w:val="000000"/>
              </w:rPr>
              <w:t xml:space="preserve">30 (тридцати) календарных </w:t>
            </w:r>
            <w:r w:rsidRPr="00F42802">
              <w:rPr>
                <w:color w:val="000000"/>
              </w:rPr>
              <w:t>дней</w:t>
            </w:r>
            <w:r w:rsidRPr="003C3F97">
              <w:rPr>
                <w:color w:val="000000"/>
              </w:rPr>
              <w:t xml:space="preserve"> </w:t>
            </w:r>
            <w:r w:rsidRPr="00F42802">
              <w:rPr>
                <w:color w:val="000000"/>
              </w:rPr>
              <w:t xml:space="preserve">со дня подписания </w:t>
            </w:r>
            <w:r>
              <w:rPr>
                <w:color w:val="000000"/>
              </w:rPr>
              <w:t>договора купли-продажи;</w:t>
            </w:r>
          </w:p>
          <w:p w14:paraId="56A87E83" w14:textId="77777777" w:rsidR="003D51F8" w:rsidRPr="003C3F97" w:rsidRDefault="003D51F8" w:rsidP="003D51F8">
            <w:pPr>
              <w:ind w:firstLine="709"/>
              <w:jc w:val="both"/>
              <w:rPr>
                <w:color w:val="000000"/>
              </w:rPr>
            </w:pPr>
            <w:r w:rsidRPr="003C3F97">
              <w:rPr>
                <w:color w:val="000000"/>
              </w:rPr>
              <w:t xml:space="preserve">оплатить вознаграждение организатору торгов </w:t>
            </w:r>
            <w:r w:rsidRPr="003C3F97">
              <w:t xml:space="preserve">в размере </w:t>
            </w:r>
            <w:r>
              <w:t>0</w:t>
            </w:r>
            <w:r w:rsidRPr="00F42802">
              <w:t>,</w:t>
            </w:r>
            <w:r>
              <w:t>9</w:t>
            </w:r>
            <w:r w:rsidRPr="00F42802">
              <w:t>%</w:t>
            </w:r>
            <w:r w:rsidRPr="003C3F97">
              <w:t xml:space="preserve"> от конечной цены продажи </w:t>
            </w:r>
            <w:r>
              <w:t>в</w:t>
            </w:r>
            <w:r w:rsidRPr="003C3F97">
              <w:t xml:space="preserve"> течение </w:t>
            </w:r>
            <w:r>
              <w:t>3</w:t>
            </w:r>
            <w:r w:rsidRPr="003C3F97">
              <w:t xml:space="preserve">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  <w:p w14:paraId="1FA3CEDF" w14:textId="0D9D9CFB" w:rsidR="00872F7F" w:rsidRPr="00C21B43" w:rsidRDefault="00872F7F" w:rsidP="00583B15">
            <w:pPr>
              <w:ind w:right="-30" w:firstLine="709"/>
              <w:contextualSpacing/>
              <w:jc w:val="both"/>
              <w:rPr>
                <w:color w:val="000000" w:themeColor="text1"/>
              </w:rPr>
            </w:pP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C21B43" w:rsidRPr="00C21B43" w:rsidRDefault="00C21B43" w:rsidP="00915213">
            <w:pPr>
              <w:jc w:val="both"/>
            </w:pPr>
            <w:r w:rsidRPr="00C21B43">
              <w:lastRenderedPageBreak/>
              <w:t xml:space="preserve">Порядок проведения </w:t>
            </w:r>
            <w:r w:rsidR="00915213"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 w:rsidR="00425EB4">
              <w:rPr>
                <w:color w:val="0000FF"/>
              </w:rPr>
              <w:t>20</w:t>
            </w:r>
            <w:r w:rsidR="00615616">
              <w:rPr>
                <w:color w:val="0000FF"/>
              </w:rPr>
              <w:t>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2B82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85B90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1F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7289E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056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D6355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38B0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2F14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6824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26</cp:revision>
  <cp:lastPrinted>2025-11-28T11:43:00Z</cp:lastPrinted>
  <dcterms:created xsi:type="dcterms:W3CDTF">2024-11-27T14:22:00Z</dcterms:created>
  <dcterms:modified xsi:type="dcterms:W3CDTF">2025-11-28T11:43:00Z</dcterms:modified>
</cp:coreProperties>
</file>