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1B1BCEFF"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C11DCC">
              <w:t xml:space="preserve"> </w:t>
            </w:r>
            <w:proofErr w:type="spellStart"/>
            <w:r w:rsidR="00C11DCC" w:rsidRPr="00C11DCC">
              <w:rPr>
                <w:sz w:val="28"/>
                <w:szCs w:val="28"/>
              </w:rPr>
              <w:t>Великодолецкого</w:t>
            </w:r>
            <w:proofErr w:type="spellEnd"/>
            <w:r w:rsidR="00C11DCC" w:rsidRPr="00C11DCC">
              <w:rPr>
                <w:sz w:val="28"/>
                <w:szCs w:val="28"/>
              </w:rPr>
              <w:t xml:space="preserve"> сельского исполнительного комитета</w:t>
            </w:r>
          </w:p>
          <w:p w14:paraId="17A5CE08" w14:textId="77777777" w:rsidR="00A3317F" w:rsidRDefault="00A3317F" w:rsidP="0041364F">
            <w:pPr>
              <w:spacing w:before="120" w:after="120"/>
              <w:jc w:val="center"/>
              <w:rPr>
                <w:sz w:val="28"/>
                <w:szCs w:val="28"/>
              </w:rPr>
            </w:pPr>
          </w:p>
          <w:p w14:paraId="4EDDCC44" w14:textId="28E52DAA"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C11DCC">
              <w:rPr>
                <w:b/>
                <w:sz w:val="28"/>
                <w:szCs w:val="28"/>
                <w:u w:val="single"/>
              </w:rPr>
              <w:t>22</w:t>
            </w:r>
            <w:r w:rsidR="004E18FD" w:rsidRPr="00A95D82">
              <w:rPr>
                <w:b/>
                <w:sz w:val="28"/>
                <w:szCs w:val="28"/>
                <w:u w:val="single"/>
              </w:rPr>
              <w:t xml:space="preserve"> </w:t>
            </w:r>
            <w:r w:rsidR="00C11DCC">
              <w:rPr>
                <w:b/>
                <w:sz w:val="28"/>
                <w:szCs w:val="28"/>
                <w:u w:val="single"/>
              </w:rPr>
              <w:t>июля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933D04">
              <w:rPr>
                <w:b/>
                <w:sz w:val="28"/>
                <w:szCs w:val="28"/>
                <w:u w:val="single"/>
              </w:rPr>
              <w:t>1</w:t>
            </w:r>
            <w:r w:rsidR="006F521D" w:rsidRPr="00A95D82">
              <w:rPr>
                <w:b/>
                <w:sz w:val="28"/>
                <w:szCs w:val="28"/>
                <w:u w:val="single"/>
              </w:rPr>
              <w:t>.00</w:t>
            </w:r>
            <w:r w:rsidR="006F521D" w:rsidRPr="00A95D82">
              <w:rPr>
                <w:b/>
                <w:sz w:val="28"/>
                <w:szCs w:val="28"/>
              </w:rPr>
              <w:t xml:space="preserve"> </w:t>
            </w:r>
            <w:r w:rsidR="007C378C" w:rsidRPr="00A95D82">
              <w:rPr>
                <w:b/>
                <w:sz w:val="28"/>
                <w:szCs w:val="28"/>
              </w:rPr>
              <w:t xml:space="preserve">на </w:t>
            </w:r>
            <w:bookmarkStart w:id="0" w:name="_GoBack"/>
            <w:bookmarkEnd w:id="0"/>
            <w:r w:rsidR="007C378C" w:rsidRPr="00A95D82">
              <w:rPr>
                <w:b/>
                <w:sz w:val="28"/>
                <w:szCs w:val="28"/>
              </w:rPr>
              <w:t>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00EBCAA4" w:rsidR="00BB7904" w:rsidRPr="00BB7904" w:rsidRDefault="0053383B" w:rsidP="0053383B">
            <w:pPr>
              <w:ind w:right="-30"/>
              <w:jc w:val="both"/>
            </w:pPr>
            <w:r w:rsidRPr="0053383B">
              <w:rPr>
                <w:color w:val="000000" w:themeColor="text1"/>
              </w:rPr>
              <w:t xml:space="preserve">Лот 1: Легковой автомобиль LADA 21723 135-01, марка: легковой </w:t>
            </w:r>
            <w:proofErr w:type="spellStart"/>
            <w:r w:rsidRPr="0053383B">
              <w:rPr>
                <w:color w:val="000000" w:themeColor="text1"/>
              </w:rPr>
              <w:t>хэтчбек</w:t>
            </w:r>
            <w:proofErr w:type="spellEnd"/>
            <w:r w:rsidRPr="0053383B">
              <w:rPr>
                <w:color w:val="000000" w:themeColor="text1"/>
              </w:rPr>
              <w:t>, инвентарный номер по бухгалтерскому учету № 0151002, регистрационный номер 1757 EE-2, 2012 года выпуска, номер кузова ХТА217230С0207319 цвет – серебристый, объем двигателя 1600 см3, бензин, трансмиссия – МКПП, пробег – 120799 км на 02.05.2025г.</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611AC4C6" w:rsidR="00BB7904" w:rsidRPr="00BB7904" w:rsidRDefault="0053383B" w:rsidP="0041364F">
            <w:pPr>
              <w:ind w:right="-30"/>
              <w:jc w:val="both"/>
              <w:rPr>
                <w:color w:val="000000" w:themeColor="text1"/>
              </w:rPr>
            </w:pPr>
            <w:r>
              <w:rPr>
                <w:color w:val="000000" w:themeColor="text1"/>
              </w:rPr>
              <w:t>4 4</w:t>
            </w:r>
            <w:r w:rsidR="00BB7904">
              <w:rPr>
                <w:color w:val="000000" w:themeColor="text1"/>
              </w:rPr>
              <w:t>00</w:t>
            </w:r>
            <w:r w:rsidR="00891B54">
              <w:rPr>
                <w:color w:val="000000" w:themeColor="text1"/>
              </w:rPr>
              <w:t>,00</w:t>
            </w:r>
            <w:r w:rsidR="00BB7904">
              <w:rPr>
                <w:color w:val="000000" w:themeColor="text1"/>
              </w:rPr>
              <w:t xml:space="preserve"> (</w:t>
            </w:r>
            <w:r w:rsidRPr="0053383B">
              <w:rPr>
                <w:color w:val="000000" w:themeColor="text1"/>
              </w:rPr>
              <w:t>Четыре тысячи четыреста белорусских рублей 00 копеек</w:t>
            </w:r>
            <w:r w:rsidR="00BB7904">
              <w:rPr>
                <w:color w:val="000000" w:themeColor="text1"/>
              </w:rPr>
              <w:t>) белорусских рублей</w:t>
            </w:r>
            <w:r w:rsidR="0041364F">
              <w:rPr>
                <w:color w:val="000000" w:themeColor="text1"/>
              </w:rPr>
              <w:t xml:space="preserve"> </w:t>
            </w:r>
            <w:r w:rsidR="0041364F">
              <w:t xml:space="preserve"> 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77325604" w:rsidR="0041364F" w:rsidRDefault="0053383B" w:rsidP="0041364F">
            <w:pPr>
              <w:ind w:right="-30"/>
              <w:jc w:val="both"/>
              <w:rPr>
                <w:color w:val="000000" w:themeColor="text1"/>
              </w:rPr>
            </w:pPr>
            <w:r>
              <w:rPr>
                <w:color w:val="000000" w:themeColor="text1"/>
              </w:rPr>
              <w:t>440</w:t>
            </w:r>
            <w:r w:rsidR="00891B54">
              <w:rPr>
                <w:color w:val="000000" w:themeColor="text1"/>
              </w:rPr>
              <w:t>,00</w:t>
            </w:r>
            <w:r w:rsidR="0041364F">
              <w:rPr>
                <w:color w:val="000000" w:themeColor="text1"/>
              </w:rPr>
              <w:t xml:space="preserve"> (</w:t>
            </w:r>
            <w:r w:rsidRPr="0053383B">
              <w:rPr>
                <w:color w:val="000000" w:themeColor="text1"/>
              </w:rPr>
              <w:t>Четыреста сорок белорусских рублей 00 копеек</w:t>
            </w:r>
            <w:r w:rsidR="0041364F">
              <w:rPr>
                <w:color w:val="000000" w:themeColor="text1"/>
              </w:rPr>
              <w:t xml:space="preserve">)  белорусских рублей </w:t>
            </w:r>
            <w:r w:rsidR="0041364F">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2CE28AE" w:rsidR="0004470E" w:rsidRPr="002957C9" w:rsidRDefault="0053383B" w:rsidP="0041364F">
            <w:pPr>
              <w:ind w:right="-30"/>
              <w:jc w:val="both"/>
            </w:pPr>
            <w:proofErr w:type="gramStart"/>
            <w:r w:rsidRPr="0053383B">
              <w:rPr>
                <w:color w:val="000000" w:themeColor="text1"/>
              </w:rPr>
              <w:t>Витебская</w:t>
            </w:r>
            <w:proofErr w:type="gramEnd"/>
            <w:r w:rsidRPr="0053383B">
              <w:rPr>
                <w:color w:val="000000" w:themeColor="text1"/>
              </w:rPr>
              <w:t xml:space="preserve"> обл., </w:t>
            </w:r>
            <w:proofErr w:type="spellStart"/>
            <w:r w:rsidRPr="0053383B">
              <w:rPr>
                <w:color w:val="000000" w:themeColor="text1"/>
              </w:rPr>
              <w:t>Ушачский</w:t>
            </w:r>
            <w:proofErr w:type="spellEnd"/>
            <w:r w:rsidRPr="0053383B">
              <w:rPr>
                <w:color w:val="000000" w:themeColor="text1"/>
              </w:rPr>
              <w:t xml:space="preserve"> район, </w:t>
            </w:r>
            <w:proofErr w:type="spellStart"/>
            <w:r w:rsidRPr="0053383B">
              <w:rPr>
                <w:color w:val="000000" w:themeColor="text1"/>
              </w:rPr>
              <w:t>аг</w:t>
            </w:r>
            <w:proofErr w:type="spellEnd"/>
            <w:r w:rsidRPr="0053383B">
              <w:rPr>
                <w:color w:val="000000" w:themeColor="text1"/>
              </w:rPr>
              <w:t xml:space="preserve">. Великие Дольцы, ул. </w:t>
            </w:r>
            <w:proofErr w:type="gramStart"/>
            <w:r w:rsidRPr="0053383B">
              <w:rPr>
                <w:color w:val="000000" w:themeColor="text1"/>
              </w:rPr>
              <w:t>Центральная</w:t>
            </w:r>
            <w:proofErr w:type="gramEnd"/>
            <w:r w:rsidRPr="0053383B">
              <w:rPr>
                <w:color w:val="000000" w:themeColor="text1"/>
              </w:rPr>
              <w:t>, д. 1Б.</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286A0A7F" w:rsidR="00F53813" w:rsidRPr="002957C9" w:rsidRDefault="00F53813" w:rsidP="0053383B">
            <w:pPr>
              <w:rPr>
                <w:b/>
                <w:bCs/>
                <w:i/>
                <w:iCs/>
              </w:rPr>
            </w:pPr>
            <w:r w:rsidRPr="002957C9">
              <w:rPr>
                <w:b/>
                <w:bCs/>
              </w:rPr>
              <w:t xml:space="preserve">по </w:t>
            </w:r>
            <w:r w:rsidR="0053383B">
              <w:rPr>
                <w:b/>
                <w:bCs/>
              </w:rPr>
              <w:t>21</w:t>
            </w:r>
            <w:r w:rsidR="00F5390E" w:rsidRPr="002957C9">
              <w:rPr>
                <w:b/>
                <w:bCs/>
              </w:rPr>
              <w:t>.</w:t>
            </w:r>
            <w:r w:rsidR="00A3317F" w:rsidRPr="002957C9">
              <w:rPr>
                <w:b/>
                <w:bCs/>
              </w:rPr>
              <w:t>0</w:t>
            </w:r>
            <w:r w:rsidR="0053383B">
              <w:rPr>
                <w:b/>
                <w:bCs/>
              </w:rPr>
              <w:t>7</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2957C9" w14:paraId="5AF0F435" w14:textId="77777777" w:rsidTr="0041364F">
        <w:trPr>
          <w:trHeight w:val="219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747CD3B" w14:textId="77777777" w:rsidR="0053383B" w:rsidRDefault="0053383B" w:rsidP="0053383B">
            <w:pPr>
              <w:jc w:val="both"/>
            </w:pPr>
            <w:proofErr w:type="spellStart"/>
            <w:r>
              <w:t>Великодолецкий</w:t>
            </w:r>
            <w:proofErr w:type="spellEnd"/>
            <w:r>
              <w:t xml:space="preserve"> сельский исполнительный комитет </w:t>
            </w:r>
          </w:p>
          <w:p w14:paraId="78993D9A" w14:textId="77777777" w:rsidR="0053383B" w:rsidRDefault="0053383B" w:rsidP="0053383B">
            <w:pPr>
              <w:jc w:val="both"/>
            </w:pPr>
            <w:r>
              <w:t xml:space="preserve">211484, Витебская </w:t>
            </w:r>
            <w:proofErr w:type="spellStart"/>
            <w:r>
              <w:t>обл</w:t>
            </w:r>
            <w:proofErr w:type="spellEnd"/>
            <w:r>
              <w:t>.</w:t>
            </w:r>
            <w:proofErr w:type="gramStart"/>
            <w:r>
              <w:t>,</w:t>
            </w:r>
            <w:proofErr w:type="spellStart"/>
            <w:r>
              <w:t>У</w:t>
            </w:r>
            <w:proofErr w:type="gramEnd"/>
            <w:r>
              <w:t>шачский</w:t>
            </w:r>
            <w:proofErr w:type="spellEnd"/>
            <w:r>
              <w:t xml:space="preserve"> р-н, </w:t>
            </w:r>
            <w:proofErr w:type="spellStart"/>
            <w:r>
              <w:t>Великодолецкий</w:t>
            </w:r>
            <w:proofErr w:type="spellEnd"/>
            <w:r>
              <w:t xml:space="preserve"> с/</w:t>
            </w:r>
            <w:proofErr w:type="spellStart"/>
            <w:r>
              <w:t>с,аг</w:t>
            </w:r>
            <w:proofErr w:type="spellEnd"/>
            <w:r>
              <w:t xml:space="preserve">. Великие </w:t>
            </w:r>
            <w:proofErr w:type="spellStart"/>
            <w:r>
              <w:t>Дольцы</w:t>
            </w:r>
            <w:proofErr w:type="gramStart"/>
            <w:r>
              <w:t>,у</w:t>
            </w:r>
            <w:proofErr w:type="gramEnd"/>
            <w:r>
              <w:t>л</w:t>
            </w:r>
            <w:proofErr w:type="spellEnd"/>
            <w:r>
              <w:t>. Центральная, д.1Б, УНП 300007086</w:t>
            </w:r>
          </w:p>
          <w:p w14:paraId="29DD2FBD" w14:textId="77777777" w:rsidR="0053383B" w:rsidRDefault="0053383B" w:rsidP="0053383B">
            <w:pPr>
              <w:jc w:val="both"/>
            </w:pPr>
            <w:r>
              <w:t>Расчетный счет BY16AKBB36043280109312300000</w:t>
            </w:r>
          </w:p>
          <w:p w14:paraId="257D23A1" w14:textId="77777777" w:rsidR="0053383B" w:rsidRDefault="0053383B" w:rsidP="0053383B">
            <w:pPr>
              <w:jc w:val="both"/>
            </w:pPr>
            <w:r>
              <w:t xml:space="preserve">филиал 216  ОАО «АСБ </w:t>
            </w:r>
            <w:proofErr w:type="spellStart"/>
            <w:r>
              <w:t>Беларусбанк</w:t>
            </w:r>
            <w:proofErr w:type="spellEnd"/>
            <w:r>
              <w:t>»</w:t>
            </w:r>
          </w:p>
          <w:p w14:paraId="4CCC9348" w14:textId="77777777" w:rsidR="0053383B" w:rsidRDefault="0053383B" w:rsidP="0053383B">
            <w:pPr>
              <w:jc w:val="both"/>
            </w:pPr>
            <w:r>
              <w:t xml:space="preserve">БИК АКВВВY2X, </w:t>
            </w:r>
            <w:proofErr w:type="spellStart"/>
            <w:r>
              <w:t>г</w:t>
            </w:r>
            <w:proofErr w:type="gramStart"/>
            <w:r>
              <w:t>.П</w:t>
            </w:r>
            <w:proofErr w:type="gramEnd"/>
            <w:r>
              <w:t>олоцк</w:t>
            </w:r>
            <w:proofErr w:type="spellEnd"/>
            <w:r>
              <w:t xml:space="preserve"> </w:t>
            </w:r>
          </w:p>
          <w:p w14:paraId="5F3B090C" w14:textId="77777777" w:rsidR="0053383B" w:rsidRDefault="0053383B" w:rsidP="0053383B">
            <w:pPr>
              <w:jc w:val="both"/>
            </w:pPr>
            <w:r>
              <w:t>УНП 300007086</w:t>
            </w:r>
          </w:p>
          <w:p w14:paraId="76D6EDAB" w14:textId="77777777" w:rsidR="0053383B" w:rsidRDefault="0053383B" w:rsidP="0053383B">
            <w:pPr>
              <w:jc w:val="both"/>
            </w:pPr>
            <w:proofErr w:type="spellStart"/>
            <w:r>
              <w:t>Контакные</w:t>
            </w:r>
            <w:proofErr w:type="spellEnd"/>
            <w:r>
              <w:t xml:space="preserve"> телефоны:</w:t>
            </w:r>
          </w:p>
          <w:p w14:paraId="2425D88A" w14:textId="2E68B0EF" w:rsidR="0041364F" w:rsidRPr="002957C9" w:rsidRDefault="0053383B" w:rsidP="0053383B">
            <w:pPr>
              <w:jc w:val="both"/>
            </w:pPr>
            <w:r>
              <w:t>Тел/факс 215852894</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3F21B40E" w:rsidR="0041364F" w:rsidRDefault="0053383B" w:rsidP="0041364F">
            <w:pPr>
              <w:jc w:val="both"/>
            </w:pPr>
            <w:proofErr w:type="spellStart"/>
            <w:r w:rsidRPr="0053383B">
              <w:t>Сыс</w:t>
            </w:r>
            <w:proofErr w:type="spellEnd"/>
            <w:r w:rsidRPr="0053383B">
              <w:t xml:space="preserve"> Олег Леонидович +375336955396</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933D04" w:rsidP="0041364F">
            <w:pPr>
              <w:rPr>
                <w:b/>
                <w:bCs/>
                <w:color w:val="000000"/>
              </w:rPr>
            </w:pPr>
            <w:hyperlink r:id="rId6"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53383B">
        <w:trPr>
          <w:trHeight w:val="41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91D0245" w14:textId="77777777" w:rsidR="00CC2890" w:rsidRPr="00A54D00" w:rsidRDefault="00CC2890" w:rsidP="00CC2890">
            <w:pPr>
              <w:ind w:right="-30" w:firstLine="709"/>
              <w:contextualSpacing/>
              <w:jc w:val="both"/>
              <w:rPr>
                <w:b/>
                <w:bCs/>
                <w:color w:val="000000" w:themeColor="text1"/>
              </w:rPr>
            </w:pPr>
            <w:r w:rsidRPr="00A54D00">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312639F9" w14:textId="1BB2764A" w:rsidR="0053383B" w:rsidRPr="0053383B" w:rsidRDefault="00CC2890" w:rsidP="0053383B">
            <w:pPr>
              <w:ind w:firstLine="709"/>
              <w:jc w:val="both"/>
              <w:rPr>
                <w:color w:val="000000" w:themeColor="text1"/>
              </w:rPr>
            </w:pPr>
            <w:r w:rsidRPr="004574E0">
              <w:rPr>
                <w:color w:val="000000" w:themeColor="text1"/>
              </w:rPr>
              <w:t xml:space="preserve"> </w:t>
            </w:r>
            <w:r w:rsidR="0053383B">
              <w:t xml:space="preserve"> </w:t>
            </w:r>
            <w:r w:rsidR="0053383B" w:rsidRPr="0053383B">
              <w:rPr>
                <w:color w:val="000000" w:themeColor="text1"/>
              </w:rPr>
              <w:t xml:space="preserve">заключить с Продавцом договор купли-продажи в течение 10 (десяти) рабочих дней </w:t>
            </w:r>
            <w:proofErr w:type="gramStart"/>
            <w:r w:rsidR="0053383B" w:rsidRPr="0053383B">
              <w:rPr>
                <w:color w:val="000000" w:themeColor="text1"/>
              </w:rPr>
              <w:t>с даты проведения</w:t>
            </w:r>
            <w:proofErr w:type="gramEnd"/>
            <w:r w:rsidR="0053383B" w:rsidRPr="0053383B">
              <w:rPr>
                <w:color w:val="000000" w:themeColor="text1"/>
              </w:rPr>
              <w:t xml:space="preserve"> электронных торгов и утверждения протокола электронных торгов.</w:t>
            </w:r>
          </w:p>
          <w:p w14:paraId="228ACCF1" w14:textId="77777777" w:rsidR="0053383B" w:rsidRPr="0053383B" w:rsidRDefault="0053383B" w:rsidP="0053383B">
            <w:pPr>
              <w:ind w:firstLine="709"/>
              <w:jc w:val="both"/>
              <w:rPr>
                <w:color w:val="000000" w:themeColor="text1"/>
              </w:rPr>
            </w:pPr>
            <w:proofErr w:type="gramStart"/>
            <w:r w:rsidRPr="0053383B">
              <w:rPr>
                <w:color w:val="000000" w:themeColor="text1"/>
              </w:rPr>
              <w:t>оплатить стоимость приобретенного</w:t>
            </w:r>
            <w:proofErr w:type="gramEnd"/>
            <w:r w:rsidRPr="0053383B">
              <w:rPr>
                <w:color w:val="000000" w:themeColor="text1"/>
              </w:rPr>
              <w:t xml:space="preserve"> имущества в течение 10 (десяти) рабочих дней с даты заключения договора купли-продажи, за исключением оплаты стоимости приобретенного имущества в рассрочку.</w:t>
            </w:r>
          </w:p>
          <w:p w14:paraId="41E4F7F7" w14:textId="77777777" w:rsidR="0053383B" w:rsidRPr="0053383B" w:rsidRDefault="0053383B" w:rsidP="0053383B">
            <w:pPr>
              <w:ind w:firstLine="709"/>
              <w:jc w:val="both"/>
              <w:rPr>
                <w:color w:val="000000" w:themeColor="text1"/>
              </w:rPr>
            </w:pPr>
            <w:r w:rsidRPr="0053383B">
              <w:rPr>
                <w:color w:val="000000" w:themeColor="text1"/>
              </w:rPr>
              <w:t xml:space="preserve">- возместить расходы на проведение рыночной оценки в сумме 250 белорусских рублей с НДС. </w:t>
            </w:r>
          </w:p>
          <w:p w14:paraId="0809A456" w14:textId="77777777" w:rsidR="0053383B" w:rsidRPr="0053383B" w:rsidRDefault="0053383B" w:rsidP="0053383B">
            <w:pPr>
              <w:ind w:firstLine="709"/>
              <w:jc w:val="both"/>
              <w:rPr>
                <w:color w:val="000000" w:themeColor="text1"/>
              </w:rPr>
            </w:pPr>
            <w:r w:rsidRPr="0053383B">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74F23667" w14:textId="77777777" w:rsidR="0053383B" w:rsidRPr="0053383B" w:rsidRDefault="0053383B" w:rsidP="0053383B">
            <w:pPr>
              <w:ind w:firstLine="709"/>
              <w:jc w:val="both"/>
              <w:rPr>
                <w:color w:val="000000" w:themeColor="text1"/>
              </w:rPr>
            </w:pPr>
            <w:r w:rsidRPr="0053383B">
              <w:rPr>
                <w:color w:val="000000" w:themeColor="text1"/>
              </w:rPr>
              <w:t xml:space="preserve"> победитель своими силами и за свой счет забирает автомобиль. </w:t>
            </w:r>
          </w:p>
          <w:p w14:paraId="74777774" w14:textId="0B1E1258" w:rsidR="00F53813" w:rsidRPr="008A2EBD" w:rsidRDefault="0053383B" w:rsidP="0053383B">
            <w:pPr>
              <w:ind w:firstLine="709"/>
              <w:jc w:val="both"/>
              <w:rPr>
                <w:color w:val="000000" w:themeColor="text1"/>
              </w:rPr>
            </w:pPr>
            <w:r w:rsidRPr="0053383B">
              <w:rPr>
                <w:color w:val="000000" w:themeColor="text1"/>
              </w:rPr>
              <w:t xml:space="preserve"> победитель электронных торгов 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10 </w:t>
            </w:r>
            <w:r w:rsidRPr="0053383B">
              <w:rPr>
                <w:color w:val="000000" w:themeColor="text1"/>
              </w:rPr>
              <w:lastRenderedPageBreak/>
              <w:t>(десяти)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34DC2B5E"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100 базовых величин</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0DD"/>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383B"/>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3D04"/>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1DCC"/>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6062</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44</cp:revision>
  <cp:lastPrinted>2025-06-11T13:19:00Z</cp:lastPrinted>
  <dcterms:created xsi:type="dcterms:W3CDTF">2024-10-25T07:31:00Z</dcterms:created>
  <dcterms:modified xsi:type="dcterms:W3CDTF">2025-06-11T13:19:00Z</dcterms:modified>
</cp:coreProperties>
</file>